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81" w:rsidRPr="00D548D1" w:rsidRDefault="007E6581" w:rsidP="007E6581">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Name: _________________________</w:t>
      </w:r>
    </w:p>
    <w:p w:rsidR="007E6581" w:rsidRDefault="007E6581" w:rsidP="007B01BD">
      <w:pPr>
        <w:spacing w:after="0" w:line="240" w:lineRule="auto"/>
        <w:rPr>
          <w:rFonts w:ascii="Times New Roman" w:hAnsi="Times New Roman" w:cs="Times New Roman"/>
          <w:b/>
          <w:sz w:val="24"/>
          <w:szCs w:val="24"/>
        </w:rPr>
      </w:pPr>
    </w:p>
    <w:p w:rsidR="007E6581" w:rsidRDefault="008F691D" w:rsidP="007B01BD">
      <w:pPr>
        <w:spacing w:after="0" w:line="240" w:lineRule="auto"/>
        <w:rPr>
          <w:rFonts w:ascii="Times New Roman" w:hAnsi="Times New Roman" w:cs="Times New Roman"/>
          <w:b/>
          <w:sz w:val="24"/>
          <w:szCs w:val="24"/>
        </w:rPr>
      </w:pPr>
      <w:r w:rsidRPr="00D548D1">
        <w:rPr>
          <w:rFonts w:ascii="Times New Roman" w:hAnsi="Times New Roman" w:cs="Times New Roman"/>
          <w:b/>
          <w:sz w:val="24"/>
          <w:szCs w:val="24"/>
        </w:rPr>
        <w:t>EART120</w:t>
      </w:r>
      <w:r w:rsidR="007E6581">
        <w:rPr>
          <w:rFonts w:ascii="Times New Roman" w:hAnsi="Times New Roman" w:cs="Times New Roman"/>
          <w:b/>
          <w:sz w:val="24"/>
          <w:szCs w:val="24"/>
        </w:rPr>
        <w:t>:</w:t>
      </w:r>
      <w:r w:rsidR="007B01BD" w:rsidRPr="00D548D1">
        <w:rPr>
          <w:rFonts w:ascii="Times New Roman" w:hAnsi="Times New Roman" w:cs="Times New Roman"/>
          <w:b/>
          <w:sz w:val="24"/>
          <w:szCs w:val="24"/>
        </w:rPr>
        <w:t xml:space="preserve"> Provenance of Cretaceous sediments of the Great Valley Group</w:t>
      </w:r>
    </w:p>
    <w:p w:rsidR="007B01BD" w:rsidRPr="00D548D1" w:rsidRDefault="007B01BD" w:rsidP="007B01BD">
      <w:pPr>
        <w:spacing w:after="0" w:line="240" w:lineRule="auto"/>
        <w:rPr>
          <w:rFonts w:ascii="Times New Roman" w:hAnsi="Times New Roman" w:cs="Times New Roman"/>
          <w:sz w:val="24"/>
          <w:szCs w:val="24"/>
        </w:rPr>
      </w:pPr>
    </w:p>
    <w:p w:rsidR="00611724" w:rsidRPr="00D548D1" w:rsidRDefault="005A390E"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 xml:space="preserve">The </w:t>
      </w:r>
      <w:r w:rsidRPr="00D548D1">
        <w:rPr>
          <w:rFonts w:ascii="Times New Roman" w:hAnsi="Times New Roman" w:cs="Times New Roman"/>
          <w:b/>
          <w:sz w:val="24"/>
          <w:szCs w:val="24"/>
        </w:rPr>
        <w:t>Great Valley Group</w:t>
      </w:r>
      <w:r w:rsidRPr="00D548D1">
        <w:rPr>
          <w:rFonts w:ascii="Times New Roman" w:hAnsi="Times New Roman" w:cs="Times New Roman"/>
          <w:sz w:val="24"/>
          <w:szCs w:val="24"/>
        </w:rPr>
        <w:t xml:space="preserve"> (or Sequence) was deposited in a Cretaceous </w:t>
      </w:r>
      <w:proofErr w:type="spellStart"/>
      <w:r w:rsidRPr="00D548D1">
        <w:rPr>
          <w:rFonts w:ascii="Times New Roman" w:hAnsi="Times New Roman" w:cs="Times New Roman"/>
          <w:sz w:val="24"/>
          <w:szCs w:val="24"/>
        </w:rPr>
        <w:t>forearc</w:t>
      </w:r>
      <w:proofErr w:type="spellEnd"/>
      <w:r w:rsidRPr="00D548D1">
        <w:rPr>
          <w:rFonts w:ascii="Times New Roman" w:hAnsi="Times New Roman" w:cs="Times New Roman"/>
          <w:sz w:val="24"/>
          <w:szCs w:val="24"/>
        </w:rPr>
        <w:t xml:space="preserve"> basin in front of the Sierra Nevada arc. Some of the key rocks in the source area are the </w:t>
      </w:r>
      <w:r w:rsidRPr="00D548D1">
        <w:rPr>
          <w:rFonts w:ascii="Times New Roman" w:hAnsi="Times New Roman" w:cs="Times New Roman"/>
          <w:b/>
          <w:sz w:val="24"/>
          <w:szCs w:val="24"/>
        </w:rPr>
        <w:t xml:space="preserve">Western and Northern Sierra </w:t>
      </w:r>
      <w:proofErr w:type="spellStart"/>
      <w:r w:rsidRPr="00D548D1">
        <w:rPr>
          <w:rFonts w:ascii="Times New Roman" w:hAnsi="Times New Roman" w:cs="Times New Roman"/>
          <w:b/>
          <w:sz w:val="24"/>
          <w:szCs w:val="24"/>
        </w:rPr>
        <w:t>terranes</w:t>
      </w:r>
      <w:proofErr w:type="spellEnd"/>
      <w:r w:rsidRPr="00D548D1">
        <w:rPr>
          <w:rFonts w:ascii="Times New Roman" w:hAnsi="Times New Roman" w:cs="Times New Roman"/>
          <w:sz w:val="24"/>
          <w:szCs w:val="24"/>
        </w:rPr>
        <w:t xml:space="preserve"> (primarily </w:t>
      </w:r>
      <w:proofErr w:type="spellStart"/>
      <w:r w:rsidRPr="00D548D1">
        <w:rPr>
          <w:rFonts w:ascii="Times New Roman" w:hAnsi="Times New Roman" w:cs="Times New Roman"/>
          <w:sz w:val="24"/>
          <w:szCs w:val="24"/>
        </w:rPr>
        <w:t>Paleozoic</w:t>
      </w:r>
      <w:proofErr w:type="spellEnd"/>
      <w:r w:rsidRPr="00D548D1">
        <w:rPr>
          <w:rFonts w:ascii="Times New Roman" w:hAnsi="Times New Roman" w:cs="Times New Roman"/>
          <w:sz w:val="24"/>
          <w:szCs w:val="24"/>
        </w:rPr>
        <w:t xml:space="preserve"> and Mesozoic metasedimentary rocks intruded by </w:t>
      </w:r>
      <w:r w:rsidR="00611724" w:rsidRPr="00D548D1">
        <w:rPr>
          <w:rFonts w:ascii="Times New Roman" w:hAnsi="Times New Roman" w:cs="Times New Roman"/>
          <w:sz w:val="24"/>
          <w:szCs w:val="24"/>
        </w:rPr>
        <w:t xml:space="preserve">140-170 Ma plutons) and the </w:t>
      </w:r>
      <w:r w:rsidR="00611724" w:rsidRPr="00D548D1">
        <w:rPr>
          <w:rFonts w:ascii="Times New Roman" w:hAnsi="Times New Roman" w:cs="Times New Roman"/>
          <w:b/>
          <w:sz w:val="24"/>
          <w:szCs w:val="24"/>
        </w:rPr>
        <w:t>Sierra Nevada batholith</w:t>
      </w:r>
      <w:r w:rsidR="00611724" w:rsidRPr="00D548D1">
        <w:rPr>
          <w:rFonts w:ascii="Times New Roman" w:hAnsi="Times New Roman" w:cs="Times New Roman"/>
          <w:sz w:val="24"/>
          <w:szCs w:val="24"/>
        </w:rPr>
        <w:t xml:space="preserve"> itself (125-82 Ma granitic rocks). Much of the exposed strata records deposition in deep-marine submarine channels and fans on the continental slope, similar to the modern Monterey submarine canyon.</w:t>
      </w:r>
    </w:p>
    <w:p w:rsidR="00611724" w:rsidRPr="00D548D1" w:rsidRDefault="00611724" w:rsidP="007B01BD">
      <w:pPr>
        <w:spacing w:after="0" w:line="240" w:lineRule="auto"/>
        <w:rPr>
          <w:rFonts w:ascii="Times New Roman" w:hAnsi="Times New Roman" w:cs="Times New Roman"/>
          <w:sz w:val="24"/>
          <w:szCs w:val="24"/>
        </w:rPr>
      </w:pPr>
    </w:p>
    <w:p w:rsidR="005A390E" w:rsidRPr="00D548D1" w:rsidRDefault="00611724"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You will use detrital material contained in Great Valley strata to reconstruct the geomorphic evolution of the source area and discuss sediment transport pathways from the arc to basin.</w:t>
      </w:r>
    </w:p>
    <w:p w:rsidR="007B01BD" w:rsidRDefault="007B01BD" w:rsidP="007B01BD">
      <w:pPr>
        <w:spacing w:after="0" w:line="240" w:lineRule="auto"/>
        <w:rPr>
          <w:sz w:val="24"/>
          <w:szCs w:val="24"/>
        </w:rPr>
      </w:pPr>
    </w:p>
    <w:p w:rsidR="00EB15F1" w:rsidRDefault="007B01BD" w:rsidP="007B01BD">
      <w:pPr>
        <w:spacing w:after="0" w:line="240" w:lineRule="auto"/>
        <w:rPr>
          <w:sz w:val="24"/>
          <w:szCs w:val="24"/>
        </w:rPr>
      </w:pPr>
      <w:r>
        <w:rPr>
          <w:noProof/>
          <w:sz w:val="24"/>
          <w:szCs w:val="24"/>
          <w:lang w:val="en-US"/>
        </w:rPr>
        <w:drawing>
          <wp:inline distT="0" distB="0" distL="0" distR="0">
            <wp:extent cx="3638550" cy="403359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G ma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4777" cy="4040496"/>
                    </a:xfrm>
                    <a:prstGeom prst="rect">
                      <a:avLst/>
                    </a:prstGeom>
                  </pic:spPr>
                </pic:pic>
              </a:graphicData>
            </a:graphic>
          </wp:inline>
        </w:drawing>
      </w:r>
      <w:r w:rsidR="00EB15F1">
        <w:rPr>
          <w:noProof/>
          <w:sz w:val="24"/>
          <w:szCs w:val="24"/>
          <w:lang w:val="en-US"/>
        </w:rPr>
        <w:drawing>
          <wp:inline distT="0" distB="0" distL="0" distR="0">
            <wp:extent cx="1561430" cy="408288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valley strat.png"/>
                    <pic:cNvPicPr/>
                  </pic:nvPicPr>
                  <pic:blipFill>
                    <a:blip r:embed="rId6">
                      <a:extLst>
                        <a:ext uri="{28A0092B-C50C-407E-A947-70E740481C1C}">
                          <a14:useLocalDpi xmlns:a14="http://schemas.microsoft.com/office/drawing/2010/main" val="0"/>
                        </a:ext>
                      </a:extLst>
                    </a:blip>
                    <a:stretch>
                      <a:fillRect/>
                    </a:stretch>
                  </pic:blipFill>
                  <pic:spPr>
                    <a:xfrm>
                      <a:off x="0" y="0"/>
                      <a:ext cx="1563855" cy="4089221"/>
                    </a:xfrm>
                    <a:prstGeom prst="rect">
                      <a:avLst/>
                    </a:prstGeom>
                  </pic:spPr>
                </pic:pic>
              </a:graphicData>
            </a:graphic>
          </wp:inline>
        </w:drawing>
      </w:r>
    </w:p>
    <w:p w:rsidR="005A390E" w:rsidRPr="00D548D1" w:rsidRDefault="005A390E" w:rsidP="007B01BD">
      <w:pPr>
        <w:spacing w:after="0" w:line="240" w:lineRule="auto"/>
        <w:rPr>
          <w:rFonts w:ascii="Times New Roman" w:hAnsi="Times New Roman" w:cs="Times New Roman"/>
          <w:sz w:val="20"/>
          <w:szCs w:val="20"/>
        </w:rPr>
      </w:pPr>
      <w:r w:rsidRPr="00D548D1">
        <w:rPr>
          <w:rFonts w:ascii="Times New Roman" w:hAnsi="Times New Roman" w:cs="Times New Roman"/>
          <w:b/>
          <w:sz w:val="20"/>
          <w:szCs w:val="20"/>
        </w:rPr>
        <w:t xml:space="preserve">Fig. 1. </w:t>
      </w:r>
      <w:r w:rsidRPr="00D548D1">
        <w:rPr>
          <w:rFonts w:ascii="Times New Roman" w:hAnsi="Times New Roman" w:cs="Times New Roman"/>
          <w:sz w:val="20"/>
          <w:szCs w:val="20"/>
        </w:rPr>
        <w:t>(</w:t>
      </w:r>
      <w:proofErr w:type="gramStart"/>
      <w:r w:rsidRPr="00D548D1">
        <w:rPr>
          <w:rFonts w:ascii="Times New Roman" w:hAnsi="Times New Roman" w:cs="Times New Roman"/>
          <w:sz w:val="20"/>
          <w:szCs w:val="20"/>
        </w:rPr>
        <w:t>left</w:t>
      </w:r>
      <w:proofErr w:type="gramEnd"/>
      <w:r w:rsidRPr="00D548D1">
        <w:rPr>
          <w:rFonts w:ascii="Times New Roman" w:hAnsi="Times New Roman" w:cs="Times New Roman"/>
          <w:sz w:val="20"/>
          <w:szCs w:val="20"/>
        </w:rPr>
        <w:t>) Location</w:t>
      </w:r>
      <w:r w:rsidRPr="00D548D1">
        <w:rPr>
          <w:rFonts w:ascii="Times New Roman" w:hAnsi="Times New Roman" w:cs="Times New Roman"/>
          <w:b/>
          <w:sz w:val="20"/>
          <w:szCs w:val="20"/>
        </w:rPr>
        <w:t xml:space="preserve"> </w:t>
      </w:r>
      <w:r w:rsidRPr="00D548D1">
        <w:rPr>
          <w:rFonts w:ascii="Times New Roman" w:hAnsi="Times New Roman" w:cs="Times New Roman"/>
          <w:sz w:val="20"/>
          <w:szCs w:val="20"/>
        </w:rPr>
        <w:t>map showing outcrop area of Great Valley</w:t>
      </w:r>
      <w:r w:rsidR="00611724" w:rsidRPr="00D548D1">
        <w:rPr>
          <w:rFonts w:ascii="Times New Roman" w:hAnsi="Times New Roman" w:cs="Times New Roman"/>
          <w:sz w:val="20"/>
          <w:szCs w:val="20"/>
        </w:rPr>
        <w:t xml:space="preserve"> </w:t>
      </w:r>
      <w:proofErr w:type="spellStart"/>
      <w:r w:rsidR="00611724" w:rsidRPr="00D548D1">
        <w:rPr>
          <w:rFonts w:ascii="Times New Roman" w:hAnsi="Times New Roman" w:cs="Times New Roman"/>
          <w:sz w:val="20"/>
          <w:szCs w:val="20"/>
        </w:rPr>
        <w:t>forearc</w:t>
      </w:r>
      <w:proofErr w:type="spellEnd"/>
      <w:r w:rsidR="00611724" w:rsidRPr="00D548D1">
        <w:rPr>
          <w:rFonts w:ascii="Times New Roman" w:hAnsi="Times New Roman" w:cs="Times New Roman"/>
          <w:sz w:val="20"/>
          <w:szCs w:val="20"/>
        </w:rPr>
        <w:t xml:space="preserve"> strata relative to source areas in the Western and Northern Sierra </w:t>
      </w:r>
      <w:proofErr w:type="spellStart"/>
      <w:r w:rsidR="00611724" w:rsidRPr="00D548D1">
        <w:rPr>
          <w:rFonts w:ascii="Times New Roman" w:hAnsi="Times New Roman" w:cs="Times New Roman"/>
          <w:sz w:val="20"/>
          <w:szCs w:val="20"/>
        </w:rPr>
        <w:t>terranes</w:t>
      </w:r>
      <w:proofErr w:type="spellEnd"/>
      <w:r w:rsidR="00611724" w:rsidRPr="00D548D1">
        <w:rPr>
          <w:rFonts w:ascii="Times New Roman" w:hAnsi="Times New Roman" w:cs="Times New Roman"/>
          <w:sz w:val="20"/>
          <w:szCs w:val="20"/>
        </w:rPr>
        <w:t xml:space="preserve"> and Sierra Nevada batholith. Location boxes C (Chico), CC (Cache Creek), and SJ (San Joaquin) refer to locations of detrital zircon sampling in part 3. (</w:t>
      </w:r>
      <w:proofErr w:type="gramStart"/>
      <w:r w:rsidR="00611724" w:rsidRPr="00D548D1">
        <w:rPr>
          <w:rFonts w:ascii="Times New Roman" w:hAnsi="Times New Roman" w:cs="Times New Roman"/>
          <w:sz w:val="20"/>
          <w:szCs w:val="20"/>
        </w:rPr>
        <w:t>right</w:t>
      </w:r>
      <w:proofErr w:type="gramEnd"/>
      <w:r w:rsidR="00611724" w:rsidRPr="00D548D1">
        <w:rPr>
          <w:rFonts w:ascii="Times New Roman" w:hAnsi="Times New Roman" w:cs="Times New Roman"/>
          <w:sz w:val="20"/>
          <w:szCs w:val="20"/>
        </w:rPr>
        <w:t>) Stratigraphic framework of Cretaceous Great Valley strata, which have been divided into several “</w:t>
      </w:r>
      <w:proofErr w:type="spellStart"/>
      <w:r w:rsidR="00611724" w:rsidRPr="00D548D1">
        <w:rPr>
          <w:rFonts w:ascii="Times New Roman" w:hAnsi="Times New Roman" w:cs="Times New Roman"/>
          <w:sz w:val="20"/>
          <w:szCs w:val="20"/>
        </w:rPr>
        <w:t>petrofacies</w:t>
      </w:r>
      <w:proofErr w:type="spellEnd"/>
      <w:r w:rsidR="00611724" w:rsidRPr="00D548D1">
        <w:rPr>
          <w:rFonts w:ascii="Times New Roman" w:hAnsi="Times New Roman" w:cs="Times New Roman"/>
          <w:sz w:val="20"/>
          <w:szCs w:val="20"/>
        </w:rPr>
        <w:t>” based on sandstone composition.</w:t>
      </w:r>
    </w:p>
    <w:p w:rsidR="005A390E" w:rsidRDefault="005A390E" w:rsidP="007B01BD">
      <w:pPr>
        <w:spacing w:after="0" w:line="240" w:lineRule="auto"/>
        <w:rPr>
          <w:sz w:val="24"/>
          <w:szCs w:val="24"/>
        </w:rPr>
      </w:pPr>
    </w:p>
    <w:p w:rsidR="00EB15F1" w:rsidRPr="00D548D1" w:rsidRDefault="00EB15F1" w:rsidP="007B01BD">
      <w:pPr>
        <w:spacing w:after="0" w:line="240" w:lineRule="auto"/>
        <w:rPr>
          <w:rFonts w:ascii="Times New Roman" w:hAnsi="Times New Roman" w:cs="Times New Roman"/>
          <w:sz w:val="24"/>
          <w:szCs w:val="24"/>
          <w:u w:val="single"/>
        </w:rPr>
      </w:pPr>
      <w:r w:rsidRPr="00D548D1">
        <w:rPr>
          <w:rFonts w:ascii="Times New Roman" w:hAnsi="Times New Roman" w:cs="Times New Roman"/>
          <w:sz w:val="24"/>
          <w:szCs w:val="24"/>
          <w:u w:val="single"/>
        </w:rPr>
        <w:t xml:space="preserve">Part 1. Compositional </w:t>
      </w:r>
      <w:r w:rsidR="005A390E" w:rsidRPr="00D548D1">
        <w:rPr>
          <w:rFonts w:ascii="Times New Roman" w:hAnsi="Times New Roman" w:cs="Times New Roman"/>
          <w:sz w:val="24"/>
          <w:szCs w:val="24"/>
          <w:u w:val="single"/>
        </w:rPr>
        <w:t>tracers of provenance</w:t>
      </w:r>
    </w:p>
    <w:p w:rsidR="00EB15F1" w:rsidRPr="00D548D1" w:rsidRDefault="00EB15F1" w:rsidP="007B01BD">
      <w:pPr>
        <w:spacing w:after="0" w:line="240" w:lineRule="auto"/>
        <w:rPr>
          <w:rFonts w:ascii="Times New Roman" w:hAnsi="Times New Roman" w:cs="Times New Roman"/>
          <w:sz w:val="24"/>
          <w:szCs w:val="24"/>
        </w:rPr>
      </w:pPr>
    </w:p>
    <w:p w:rsidR="009D2E5F" w:rsidRPr="00D548D1" w:rsidRDefault="00802119"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Petrographic studies of provenance</w:t>
      </w:r>
      <w:r w:rsidR="009D2E5F" w:rsidRPr="00D548D1">
        <w:rPr>
          <w:rFonts w:ascii="Times New Roman" w:hAnsi="Times New Roman" w:cs="Times New Roman"/>
          <w:sz w:val="24"/>
          <w:szCs w:val="24"/>
        </w:rPr>
        <w:t xml:space="preserve"> have been used extensively in provenance studies and continue to be a standard method despite the proliferation of modern geochemical and isotopic techniques.</w:t>
      </w:r>
    </w:p>
    <w:p w:rsidR="008F691D" w:rsidRPr="00D548D1" w:rsidRDefault="008F691D" w:rsidP="007B01BD">
      <w:pPr>
        <w:spacing w:after="0" w:line="240" w:lineRule="auto"/>
        <w:rPr>
          <w:rFonts w:ascii="Times New Roman" w:hAnsi="Times New Roman" w:cs="Times New Roman"/>
          <w:sz w:val="24"/>
          <w:szCs w:val="24"/>
        </w:rPr>
      </w:pPr>
    </w:p>
    <w:p w:rsidR="008F691D" w:rsidRDefault="00191AD4"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lastRenderedPageBreak/>
        <w:t>Plot</w:t>
      </w:r>
      <w:r w:rsidR="00802119" w:rsidRPr="00D548D1">
        <w:rPr>
          <w:rFonts w:ascii="Times New Roman" w:hAnsi="Times New Roman" w:cs="Times New Roman"/>
          <w:sz w:val="24"/>
          <w:szCs w:val="24"/>
        </w:rPr>
        <w:t xml:space="preserve"> the quartz (Q), feldspar (F)</w:t>
      </w:r>
      <w:proofErr w:type="gramStart"/>
      <w:r w:rsidR="00802119" w:rsidRPr="00D548D1">
        <w:rPr>
          <w:rFonts w:ascii="Times New Roman" w:hAnsi="Times New Roman" w:cs="Times New Roman"/>
          <w:sz w:val="24"/>
          <w:szCs w:val="24"/>
        </w:rPr>
        <w:t>,and</w:t>
      </w:r>
      <w:proofErr w:type="gramEnd"/>
      <w:r w:rsidR="00802119" w:rsidRPr="00D548D1">
        <w:rPr>
          <w:rFonts w:ascii="Times New Roman" w:hAnsi="Times New Roman" w:cs="Times New Roman"/>
          <w:sz w:val="24"/>
          <w:szCs w:val="24"/>
        </w:rPr>
        <w:t xml:space="preserve"> lithic (L) percentages </w:t>
      </w:r>
      <w:r w:rsidRPr="00D548D1">
        <w:rPr>
          <w:rFonts w:ascii="Times New Roman" w:hAnsi="Times New Roman" w:cs="Times New Roman"/>
          <w:sz w:val="24"/>
          <w:szCs w:val="24"/>
        </w:rPr>
        <w:t xml:space="preserve">for each </w:t>
      </w:r>
      <w:proofErr w:type="spellStart"/>
      <w:r w:rsidRPr="00D548D1">
        <w:rPr>
          <w:rFonts w:ascii="Times New Roman" w:hAnsi="Times New Roman" w:cs="Times New Roman"/>
          <w:sz w:val="24"/>
          <w:szCs w:val="24"/>
        </w:rPr>
        <w:t>petrofacies</w:t>
      </w:r>
      <w:proofErr w:type="spellEnd"/>
      <w:r w:rsidRPr="00D548D1">
        <w:rPr>
          <w:rFonts w:ascii="Times New Roman" w:hAnsi="Times New Roman" w:cs="Times New Roman"/>
          <w:sz w:val="24"/>
          <w:szCs w:val="24"/>
        </w:rPr>
        <w:t xml:space="preserve"> (listed </w:t>
      </w:r>
      <w:r w:rsidR="00802119" w:rsidRPr="00D548D1">
        <w:rPr>
          <w:rFonts w:ascii="Times New Roman" w:hAnsi="Times New Roman" w:cs="Times New Roman"/>
          <w:sz w:val="24"/>
          <w:szCs w:val="24"/>
        </w:rPr>
        <w:t>in the table below</w:t>
      </w:r>
      <w:r w:rsidRPr="00D548D1">
        <w:rPr>
          <w:rFonts w:ascii="Times New Roman" w:hAnsi="Times New Roman" w:cs="Times New Roman"/>
          <w:sz w:val="24"/>
          <w:szCs w:val="24"/>
        </w:rPr>
        <w:t>)</w:t>
      </w:r>
      <w:r w:rsidR="00802119" w:rsidRPr="00D548D1">
        <w:rPr>
          <w:rFonts w:ascii="Times New Roman" w:hAnsi="Times New Roman" w:cs="Times New Roman"/>
          <w:sz w:val="24"/>
          <w:szCs w:val="24"/>
        </w:rPr>
        <w:t xml:space="preserve"> </w:t>
      </w:r>
      <w:r w:rsidRPr="00D548D1">
        <w:rPr>
          <w:rFonts w:ascii="Times New Roman" w:hAnsi="Times New Roman" w:cs="Times New Roman"/>
          <w:sz w:val="24"/>
          <w:szCs w:val="24"/>
        </w:rPr>
        <w:t>on the QFL diagram.</w:t>
      </w:r>
      <w:r w:rsidR="009D2E5F" w:rsidRPr="00D548D1">
        <w:rPr>
          <w:rFonts w:ascii="Times New Roman" w:hAnsi="Times New Roman" w:cs="Times New Roman"/>
          <w:sz w:val="24"/>
          <w:szCs w:val="24"/>
        </w:rPr>
        <w:t xml:space="preserve"> Make sure to label the points!</w:t>
      </w:r>
    </w:p>
    <w:p w:rsidR="00D548D1" w:rsidRPr="00D548D1" w:rsidRDefault="00D548D1" w:rsidP="007B01BD">
      <w:pPr>
        <w:spacing w:after="0" w:line="240" w:lineRule="auto"/>
        <w:rPr>
          <w:rFonts w:ascii="Times New Roman" w:hAnsi="Times New Roman" w:cs="Times New Roman"/>
          <w:sz w:val="24"/>
          <w:szCs w:val="24"/>
        </w:rPr>
      </w:pPr>
    </w:p>
    <w:p w:rsidR="00EB15F1" w:rsidRPr="00D548D1" w:rsidRDefault="008B29F5" w:rsidP="008B29F5">
      <w:pPr>
        <w:spacing w:after="0" w:line="240" w:lineRule="auto"/>
        <w:rPr>
          <w:rFonts w:ascii="Times New Roman" w:hAnsi="Times New Roman" w:cs="Times New Roman"/>
          <w:sz w:val="20"/>
          <w:szCs w:val="20"/>
        </w:rPr>
      </w:pPr>
      <w:r w:rsidRPr="00D548D1">
        <w:rPr>
          <w:rFonts w:ascii="Times New Roman" w:hAnsi="Times New Roman" w:cs="Times New Roman"/>
          <w:b/>
          <w:sz w:val="20"/>
          <w:szCs w:val="20"/>
        </w:rPr>
        <w:t>Table 1.</w:t>
      </w:r>
      <w:r w:rsidRPr="00D548D1">
        <w:rPr>
          <w:rFonts w:ascii="Times New Roman" w:hAnsi="Times New Roman" w:cs="Times New Roman"/>
          <w:sz w:val="20"/>
          <w:szCs w:val="20"/>
        </w:rPr>
        <w:t xml:space="preserve"> Quartz, feldspar, and lithic percentage counts from four </w:t>
      </w:r>
      <w:proofErr w:type="spellStart"/>
      <w:r w:rsidRPr="00D548D1">
        <w:rPr>
          <w:rFonts w:ascii="Times New Roman" w:hAnsi="Times New Roman" w:cs="Times New Roman"/>
          <w:sz w:val="20"/>
          <w:szCs w:val="20"/>
        </w:rPr>
        <w:t>petrofacies</w:t>
      </w:r>
      <w:proofErr w:type="spellEnd"/>
      <w:r w:rsidR="00D548D1">
        <w:rPr>
          <w:rFonts w:ascii="Times New Roman" w:hAnsi="Times New Roman" w:cs="Times New Roman"/>
          <w:sz w:val="20"/>
          <w:szCs w:val="20"/>
        </w:rPr>
        <w:t xml:space="preserve"> (see fig 1 for their ages)</w:t>
      </w:r>
      <w:r w:rsidRPr="00D548D1">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848"/>
        <w:gridCol w:w="1410"/>
        <w:gridCol w:w="1440"/>
        <w:gridCol w:w="1440"/>
      </w:tblGrid>
      <w:tr w:rsidR="00EB15F1" w:rsidTr="008B29F5">
        <w:tc>
          <w:tcPr>
            <w:tcW w:w="1848" w:type="dxa"/>
          </w:tcPr>
          <w:p w:rsidR="00EB15F1" w:rsidRPr="00944327" w:rsidRDefault="00EB15F1" w:rsidP="008B29F5">
            <w:pPr>
              <w:jc w:val="center"/>
              <w:rPr>
                <w:b/>
                <w:sz w:val="20"/>
                <w:szCs w:val="20"/>
              </w:rPr>
            </w:pPr>
            <w:proofErr w:type="spellStart"/>
            <w:r w:rsidRPr="00944327">
              <w:rPr>
                <w:b/>
                <w:sz w:val="20"/>
                <w:szCs w:val="20"/>
              </w:rPr>
              <w:t>Petrofacies</w:t>
            </w:r>
            <w:proofErr w:type="spellEnd"/>
          </w:p>
        </w:tc>
        <w:tc>
          <w:tcPr>
            <w:tcW w:w="1410" w:type="dxa"/>
          </w:tcPr>
          <w:p w:rsidR="00EB15F1" w:rsidRPr="00944327" w:rsidRDefault="00EB15F1" w:rsidP="008B29F5">
            <w:pPr>
              <w:jc w:val="center"/>
              <w:rPr>
                <w:b/>
                <w:sz w:val="20"/>
                <w:szCs w:val="20"/>
              </w:rPr>
            </w:pPr>
            <w:r w:rsidRPr="00944327">
              <w:rPr>
                <w:b/>
                <w:sz w:val="20"/>
                <w:szCs w:val="20"/>
              </w:rPr>
              <w:t>Q</w:t>
            </w:r>
          </w:p>
        </w:tc>
        <w:tc>
          <w:tcPr>
            <w:tcW w:w="1440" w:type="dxa"/>
          </w:tcPr>
          <w:p w:rsidR="00EB15F1" w:rsidRPr="00944327" w:rsidRDefault="00EB15F1" w:rsidP="008B29F5">
            <w:pPr>
              <w:jc w:val="center"/>
              <w:rPr>
                <w:b/>
                <w:sz w:val="20"/>
                <w:szCs w:val="20"/>
              </w:rPr>
            </w:pPr>
            <w:r w:rsidRPr="00944327">
              <w:rPr>
                <w:b/>
                <w:sz w:val="20"/>
                <w:szCs w:val="20"/>
              </w:rPr>
              <w:t>F</w:t>
            </w:r>
          </w:p>
        </w:tc>
        <w:tc>
          <w:tcPr>
            <w:tcW w:w="1440" w:type="dxa"/>
          </w:tcPr>
          <w:p w:rsidR="00EB15F1" w:rsidRPr="00944327" w:rsidRDefault="00EB15F1" w:rsidP="008B29F5">
            <w:pPr>
              <w:jc w:val="center"/>
              <w:rPr>
                <w:b/>
                <w:sz w:val="20"/>
                <w:szCs w:val="20"/>
              </w:rPr>
            </w:pPr>
            <w:r w:rsidRPr="00944327">
              <w:rPr>
                <w:b/>
                <w:sz w:val="20"/>
                <w:szCs w:val="20"/>
              </w:rPr>
              <w:t>L</w:t>
            </w:r>
          </w:p>
        </w:tc>
      </w:tr>
      <w:tr w:rsidR="00EB15F1" w:rsidTr="008B29F5">
        <w:tc>
          <w:tcPr>
            <w:tcW w:w="1848" w:type="dxa"/>
          </w:tcPr>
          <w:p w:rsidR="00EB15F1" w:rsidRPr="00944327" w:rsidRDefault="00EB15F1" w:rsidP="008B29F5">
            <w:pPr>
              <w:jc w:val="center"/>
              <w:rPr>
                <w:sz w:val="20"/>
                <w:szCs w:val="20"/>
              </w:rPr>
            </w:pPr>
            <w:r w:rsidRPr="00944327">
              <w:rPr>
                <w:sz w:val="20"/>
                <w:szCs w:val="20"/>
              </w:rPr>
              <w:t>Rumsey</w:t>
            </w:r>
          </w:p>
        </w:tc>
        <w:tc>
          <w:tcPr>
            <w:tcW w:w="1410" w:type="dxa"/>
          </w:tcPr>
          <w:p w:rsidR="00EB15F1" w:rsidRPr="00944327" w:rsidRDefault="00EB15F1" w:rsidP="008B29F5">
            <w:pPr>
              <w:jc w:val="center"/>
              <w:rPr>
                <w:sz w:val="20"/>
                <w:szCs w:val="20"/>
              </w:rPr>
            </w:pPr>
            <w:r w:rsidRPr="00944327">
              <w:rPr>
                <w:sz w:val="20"/>
                <w:szCs w:val="20"/>
              </w:rPr>
              <w:t>42</w:t>
            </w:r>
          </w:p>
        </w:tc>
        <w:tc>
          <w:tcPr>
            <w:tcW w:w="1440" w:type="dxa"/>
          </w:tcPr>
          <w:p w:rsidR="00EB15F1" w:rsidRPr="00944327" w:rsidRDefault="00EB15F1" w:rsidP="008B29F5">
            <w:pPr>
              <w:jc w:val="center"/>
              <w:rPr>
                <w:sz w:val="20"/>
                <w:szCs w:val="20"/>
              </w:rPr>
            </w:pPr>
            <w:r w:rsidRPr="00944327">
              <w:rPr>
                <w:sz w:val="20"/>
                <w:szCs w:val="20"/>
              </w:rPr>
              <w:t>33</w:t>
            </w:r>
          </w:p>
        </w:tc>
        <w:tc>
          <w:tcPr>
            <w:tcW w:w="1440" w:type="dxa"/>
          </w:tcPr>
          <w:p w:rsidR="00EB15F1" w:rsidRPr="00944327" w:rsidRDefault="00EB15F1" w:rsidP="008B29F5">
            <w:pPr>
              <w:jc w:val="center"/>
              <w:rPr>
                <w:sz w:val="20"/>
                <w:szCs w:val="20"/>
              </w:rPr>
            </w:pPr>
            <w:r w:rsidRPr="00944327">
              <w:rPr>
                <w:sz w:val="20"/>
                <w:szCs w:val="20"/>
              </w:rPr>
              <w:t>25</w:t>
            </w:r>
          </w:p>
        </w:tc>
      </w:tr>
      <w:tr w:rsidR="00EB15F1" w:rsidTr="008B29F5">
        <w:tc>
          <w:tcPr>
            <w:tcW w:w="1848" w:type="dxa"/>
          </w:tcPr>
          <w:p w:rsidR="00EB15F1" w:rsidRPr="00944327" w:rsidRDefault="00EB15F1" w:rsidP="008B29F5">
            <w:pPr>
              <w:jc w:val="center"/>
              <w:rPr>
                <w:sz w:val="20"/>
                <w:szCs w:val="20"/>
              </w:rPr>
            </w:pPr>
            <w:r w:rsidRPr="00944327">
              <w:rPr>
                <w:sz w:val="20"/>
                <w:szCs w:val="20"/>
              </w:rPr>
              <w:t>Cortina</w:t>
            </w:r>
          </w:p>
        </w:tc>
        <w:tc>
          <w:tcPr>
            <w:tcW w:w="1410" w:type="dxa"/>
          </w:tcPr>
          <w:p w:rsidR="00EB15F1" w:rsidRPr="00944327" w:rsidRDefault="00EB15F1" w:rsidP="008B29F5">
            <w:pPr>
              <w:jc w:val="center"/>
              <w:rPr>
                <w:sz w:val="20"/>
                <w:szCs w:val="20"/>
              </w:rPr>
            </w:pPr>
            <w:r w:rsidRPr="00944327">
              <w:rPr>
                <w:sz w:val="20"/>
                <w:szCs w:val="20"/>
              </w:rPr>
              <w:t>36</w:t>
            </w:r>
          </w:p>
        </w:tc>
        <w:tc>
          <w:tcPr>
            <w:tcW w:w="1440" w:type="dxa"/>
          </w:tcPr>
          <w:p w:rsidR="00EB15F1" w:rsidRPr="00944327" w:rsidRDefault="00EB15F1" w:rsidP="008B29F5">
            <w:pPr>
              <w:jc w:val="center"/>
              <w:rPr>
                <w:sz w:val="20"/>
                <w:szCs w:val="20"/>
              </w:rPr>
            </w:pPr>
            <w:r w:rsidRPr="00944327">
              <w:rPr>
                <w:sz w:val="20"/>
                <w:szCs w:val="20"/>
              </w:rPr>
              <w:t>31</w:t>
            </w:r>
          </w:p>
        </w:tc>
        <w:tc>
          <w:tcPr>
            <w:tcW w:w="1440" w:type="dxa"/>
          </w:tcPr>
          <w:p w:rsidR="00EB15F1" w:rsidRPr="00944327" w:rsidRDefault="00EB15F1" w:rsidP="008B29F5">
            <w:pPr>
              <w:jc w:val="center"/>
              <w:rPr>
                <w:sz w:val="20"/>
                <w:szCs w:val="20"/>
              </w:rPr>
            </w:pPr>
            <w:r w:rsidRPr="00944327">
              <w:rPr>
                <w:sz w:val="20"/>
                <w:szCs w:val="20"/>
              </w:rPr>
              <w:t>33</w:t>
            </w:r>
          </w:p>
        </w:tc>
      </w:tr>
      <w:tr w:rsidR="00EB15F1" w:rsidTr="008B29F5">
        <w:tc>
          <w:tcPr>
            <w:tcW w:w="1848" w:type="dxa"/>
          </w:tcPr>
          <w:p w:rsidR="00EB15F1" w:rsidRPr="00944327" w:rsidRDefault="00EB15F1" w:rsidP="008B29F5">
            <w:pPr>
              <w:jc w:val="center"/>
              <w:rPr>
                <w:sz w:val="20"/>
                <w:szCs w:val="20"/>
              </w:rPr>
            </w:pPr>
            <w:r w:rsidRPr="00944327">
              <w:rPr>
                <w:sz w:val="20"/>
                <w:szCs w:val="20"/>
              </w:rPr>
              <w:t>Boxer</w:t>
            </w:r>
          </w:p>
        </w:tc>
        <w:tc>
          <w:tcPr>
            <w:tcW w:w="1410" w:type="dxa"/>
          </w:tcPr>
          <w:p w:rsidR="00EB15F1" w:rsidRPr="00944327" w:rsidRDefault="00EB15F1" w:rsidP="008B29F5">
            <w:pPr>
              <w:jc w:val="center"/>
              <w:rPr>
                <w:sz w:val="20"/>
                <w:szCs w:val="20"/>
              </w:rPr>
            </w:pPr>
            <w:r w:rsidRPr="00944327">
              <w:rPr>
                <w:sz w:val="20"/>
                <w:szCs w:val="20"/>
              </w:rPr>
              <w:t>22</w:t>
            </w:r>
          </w:p>
        </w:tc>
        <w:tc>
          <w:tcPr>
            <w:tcW w:w="1440" w:type="dxa"/>
          </w:tcPr>
          <w:p w:rsidR="00EB15F1" w:rsidRPr="00944327" w:rsidRDefault="00EB15F1" w:rsidP="008B29F5">
            <w:pPr>
              <w:jc w:val="center"/>
              <w:rPr>
                <w:sz w:val="20"/>
                <w:szCs w:val="20"/>
              </w:rPr>
            </w:pPr>
            <w:r w:rsidRPr="00944327">
              <w:rPr>
                <w:sz w:val="20"/>
                <w:szCs w:val="20"/>
              </w:rPr>
              <w:t>26</w:t>
            </w:r>
          </w:p>
        </w:tc>
        <w:tc>
          <w:tcPr>
            <w:tcW w:w="1440" w:type="dxa"/>
          </w:tcPr>
          <w:p w:rsidR="00EB15F1" w:rsidRPr="00944327" w:rsidRDefault="00EB15F1" w:rsidP="008B29F5">
            <w:pPr>
              <w:jc w:val="center"/>
              <w:rPr>
                <w:sz w:val="20"/>
                <w:szCs w:val="20"/>
              </w:rPr>
            </w:pPr>
            <w:r w:rsidRPr="00944327">
              <w:rPr>
                <w:sz w:val="20"/>
                <w:szCs w:val="20"/>
              </w:rPr>
              <w:t>52</w:t>
            </w:r>
          </w:p>
        </w:tc>
      </w:tr>
      <w:tr w:rsidR="00EB15F1" w:rsidTr="008B29F5">
        <w:tc>
          <w:tcPr>
            <w:tcW w:w="1848" w:type="dxa"/>
          </w:tcPr>
          <w:p w:rsidR="00EB15F1" w:rsidRPr="00944327" w:rsidRDefault="00EB15F1" w:rsidP="008B29F5">
            <w:pPr>
              <w:jc w:val="center"/>
              <w:rPr>
                <w:sz w:val="20"/>
                <w:szCs w:val="20"/>
              </w:rPr>
            </w:pPr>
            <w:r w:rsidRPr="00944327">
              <w:rPr>
                <w:sz w:val="20"/>
                <w:szCs w:val="20"/>
              </w:rPr>
              <w:t>Stony Creek</w:t>
            </w:r>
          </w:p>
        </w:tc>
        <w:tc>
          <w:tcPr>
            <w:tcW w:w="1410" w:type="dxa"/>
          </w:tcPr>
          <w:p w:rsidR="00EB15F1" w:rsidRPr="00944327" w:rsidRDefault="00EB15F1" w:rsidP="008B29F5">
            <w:pPr>
              <w:jc w:val="center"/>
              <w:rPr>
                <w:sz w:val="20"/>
                <w:szCs w:val="20"/>
              </w:rPr>
            </w:pPr>
            <w:r w:rsidRPr="00944327">
              <w:rPr>
                <w:sz w:val="20"/>
                <w:szCs w:val="20"/>
              </w:rPr>
              <w:t>19</w:t>
            </w:r>
          </w:p>
        </w:tc>
        <w:tc>
          <w:tcPr>
            <w:tcW w:w="1440" w:type="dxa"/>
          </w:tcPr>
          <w:p w:rsidR="00EB15F1" w:rsidRPr="00944327" w:rsidRDefault="00EB15F1" w:rsidP="008B29F5">
            <w:pPr>
              <w:jc w:val="center"/>
              <w:rPr>
                <w:sz w:val="20"/>
                <w:szCs w:val="20"/>
              </w:rPr>
            </w:pPr>
            <w:r w:rsidRPr="00944327">
              <w:rPr>
                <w:sz w:val="20"/>
                <w:szCs w:val="20"/>
              </w:rPr>
              <w:t>24</w:t>
            </w:r>
          </w:p>
        </w:tc>
        <w:tc>
          <w:tcPr>
            <w:tcW w:w="1440" w:type="dxa"/>
          </w:tcPr>
          <w:p w:rsidR="00EB15F1" w:rsidRPr="00944327" w:rsidRDefault="00EB15F1" w:rsidP="008B29F5">
            <w:pPr>
              <w:jc w:val="center"/>
              <w:rPr>
                <w:sz w:val="20"/>
                <w:szCs w:val="20"/>
              </w:rPr>
            </w:pPr>
            <w:r w:rsidRPr="00944327">
              <w:rPr>
                <w:sz w:val="20"/>
                <w:szCs w:val="20"/>
              </w:rPr>
              <w:t>57</w:t>
            </w:r>
          </w:p>
        </w:tc>
      </w:tr>
    </w:tbl>
    <w:p w:rsidR="00EB15F1" w:rsidRDefault="00EB15F1" w:rsidP="007B01BD">
      <w:pPr>
        <w:spacing w:after="0" w:line="240" w:lineRule="auto"/>
        <w:rPr>
          <w:sz w:val="24"/>
          <w:szCs w:val="24"/>
        </w:rPr>
      </w:pPr>
    </w:p>
    <w:p w:rsidR="007B01BD" w:rsidRDefault="007B01BD" w:rsidP="008F691D">
      <w:pPr>
        <w:spacing w:after="0" w:line="240" w:lineRule="auto"/>
        <w:jc w:val="center"/>
        <w:rPr>
          <w:sz w:val="24"/>
          <w:szCs w:val="24"/>
        </w:rPr>
      </w:pPr>
      <w:r>
        <w:rPr>
          <w:noProof/>
          <w:sz w:val="24"/>
          <w:szCs w:val="24"/>
          <w:lang w:val="en-US"/>
        </w:rPr>
        <w:drawing>
          <wp:inline distT="0" distB="0" distL="0" distR="0">
            <wp:extent cx="4060609" cy="3514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fl tern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4309" cy="3517928"/>
                    </a:xfrm>
                    <a:prstGeom prst="rect">
                      <a:avLst/>
                    </a:prstGeom>
                  </pic:spPr>
                </pic:pic>
              </a:graphicData>
            </a:graphic>
          </wp:inline>
        </w:drawing>
      </w:r>
    </w:p>
    <w:p w:rsidR="009D2E5F" w:rsidRDefault="009D2E5F" w:rsidP="007B01BD">
      <w:pPr>
        <w:spacing w:after="0" w:line="240" w:lineRule="auto"/>
        <w:rPr>
          <w:sz w:val="24"/>
          <w:szCs w:val="24"/>
        </w:rPr>
      </w:pPr>
    </w:p>
    <w:p w:rsidR="00344E51" w:rsidRDefault="00344E51" w:rsidP="007B01BD">
      <w:pPr>
        <w:spacing w:after="0" w:line="240" w:lineRule="auto"/>
        <w:rPr>
          <w:sz w:val="24"/>
          <w:szCs w:val="24"/>
        </w:rPr>
      </w:pPr>
    </w:p>
    <w:p w:rsidR="008B29F5" w:rsidRPr="00D548D1" w:rsidRDefault="008B29F5" w:rsidP="00D548D1">
      <w:pPr>
        <w:pStyle w:val="ListParagraph"/>
        <w:numPr>
          <w:ilvl w:val="0"/>
          <w:numId w:val="1"/>
        </w:num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How does the provenance change over time? What does that tell you about the geomorphic evolution of the Sierra Nevada arc?</w:t>
      </w:r>
    </w:p>
    <w:p w:rsidR="00EB15F1" w:rsidRDefault="00EB15F1" w:rsidP="007B01BD">
      <w:pPr>
        <w:spacing w:after="0" w:line="240" w:lineRule="auto"/>
        <w:rPr>
          <w:sz w:val="24"/>
          <w:szCs w:val="24"/>
        </w:rPr>
      </w:pPr>
    </w:p>
    <w:p w:rsidR="00EB15F1" w:rsidRPr="00D548D1" w:rsidRDefault="00CD14BA" w:rsidP="007B01BD">
      <w:pPr>
        <w:spacing w:after="0" w:line="240" w:lineRule="auto"/>
        <w:rPr>
          <w:rFonts w:ascii="Times New Roman" w:hAnsi="Times New Roman" w:cs="Times New Roman"/>
          <w:sz w:val="24"/>
          <w:szCs w:val="24"/>
          <w:u w:val="single"/>
        </w:rPr>
      </w:pPr>
      <w:r w:rsidRPr="00D548D1">
        <w:rPr>
          <w:rFonts w:ascii="Times New Roman" w:hAnsi="Times New Roman" w:cs="Times New Roman"/>
          <w:sz w:val="24"/>
          <w:szCs w:val="24"/>
          <w:u w:val="single"/>
        </w:rPr>
        <w:t xml:space="preserve">Part 2: </w:t>
      </w:r>
      <w:r w:rsidR="005A390E" w:rsidRPr="00D548D1">
        <w:rPr>
          <w:rFonts w:ascii="Times New Roman" w:hAnsi="Times New Roman" w:cs="Times New Roman"/>
          <w:sz w:val="24"/>
          <w:szCs w:val="24"/>
          <w:u w:val="single"/>
        </w:rPr>
        <w:t>Geochemical tracers of provenance</w:t>
      </w:r>
    </w:p>
    <w:p w:rsidR="00EB15F1" w:rsidRPr="00D548D1" w:rsidRDefault="00EB15F1" w:rsidP="007B01BD">
      <w:pPr>
        <w:spacing w:after="0" w:line="240" w:lineRule="auto"/>
        <w:rPr>
          <w:rFonts w:ascii="Times New Roman" w:hAnsi="Times New Roman" w:cs="Times New Roman"/>
          <w:sz w:val="24"/>
          <w:szCs w:val="24"/>
        </w:rPr>
      </w:pPr>
    </w:p>
    <w:p w:rsidR="00BD57C4" w:rsidRPr="00D548D1" w:rsidRDefault="00344E51"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Isotopic systems such as Sm/</w:t>
      </w:r>
      <w:proofErr w:type="spellStart"/>
      <w:r w:rsidRPr="00D548D1">
        <w:rPr>
          <w:rFonts w:ascii="Times New Roman" w:hAnsi="Times New Roman" w:cs="Times New Roman"/>
          <w:sz w:val="24"/>
          <w:szCs w:val="24"/>
        </w:rPr>
        <w:t>Nd</w:t>
      </w:r>
      <w:proofErr w:type="spellEnd"/>
      <w:r w:rsidRPr="00D548D1">
        <w:rPr>
          <w:rFonts w:ascii="Times New Roman" w:hAnsi="Times New Roman" w:cs="Times New Roman"/>
          <w:sz w:val="24"/>
          <w:szCs w:val="24"/>
        </w:rPr>
        <w:t xml:space="preserve"> or </w:t>
      </w:r>
      <w:r w:rsidRPr="00D548D1">
        <w:rPr>
          <w:rFonts w:ascii="Times New Roman" w:hAnsi="Times New Roman" w:cs="Times New Roman"/>
          <w:sz w:val="24"/>
          <w:szCs w:val="24"/>
          <w:vertAlign w:val="superscript"/>
        </w:rPr>
        <w:t>87</w:t>
      </w:r>
      <w:r w:rsidRPr="00D548D1">
        <w:rPr>
          <w:rFonts w:ascii="Times New Roman" w:hAnsi="Times New Roman" w:cs="Times New Roman"/>
          <w:sz w:val="24"/>
          <w:szCs w:val="24"/>
        </w:rPr>
        <w:t>Sr/</w:t>
      </w:r>
      <w:r w:rsidRPr="00D548D1">
        <w:rPr>
          <w:rFonts w:ascii="Times New Roman" w:hAnsi="Times New Roman" w:cs="Times New Roman"/>
          <w:sz w:val="24"/>
          <w:szCs w:val="24"/>
          <w:vertAlign w:val="superscript"/>
        </w:rPr>
        <w:t>86</w:t>
      </w:r>
      <w:r w:rsidRPr="00D548D1">
        <w:rPr>
          <w:rFonts w:ascii="Times New Roman" w:hAnsi="Times New Roman" w:cs="Times New Roman"/>
          <w:sz w:val="24"/>
          <w:szCs w:val="24"/>
        </w:rPr>
        <w:t>Sr can also trace provenance if the isotopic compositions of rocks in the source region are known.</w:t>
      </w:r>
    </w:p>
    <w:p w:rsidR="00BD57C4" w:rsidRDefault="00BD57C4" w:rsidP="007B01BD">
      <w:pPr>
        <w:spacing w:after="0" w:line="240" w:lineRule="auto"/>
        <w:rPr>
          <w:sz w:val="24"/>
          <w:szCs w:val="24"/>
        </w:rPr>
      </w:pPr>
    </w:p>
    <w:p w:rsidR="008B29F5" w:rsidRPr="00D548D1" w:rsidRDefault="00BD57C4"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Sm/</w:t>
      </w:r>
      <w:proofErr w:type="spellStart"/>
      <w:r w:rsidRPr="00D548D1">
        <w:rPr>
          <w:rFonts w:ascii="Times New Roman" w:hAnsi="Times New Roman" w:cs="Times New Roman"/>
          <w:sz w:val="24"/>
          <w:szCs w:val="24"/>
        </w:rPr>
        <w:t>Nd</w:t>
      </w:r>
      <w:proofErr w:type="spellEnd"/>
      <w:r w:rsidRPr="00D548D1">
        <w:rPr>
          <w:rFonts w:ascii="Times New Roman" w:hAnsi="Times New Roman" w:cs="Times New Roman"/>
          <w:sz w:val="24"/>
          <w:szCs w:val="24"/>
        </w:rPr>
        <w:t xml:space="preserve"> (measured with the epsilon notation</w:t>
      </w:r>
      <w:r>
        <w:rPr>
          <w:sz w:val="24"/>
          <w:szCs w:val="24"/>
        </w:rPr>
        <w:t xml:space="preserve"> </w:t>
      </w:r>
      <w:r w:rsidRPr="00BD57C4">
        <w:rPr>
          <w:rFonts w:ascii="Symbol" w:hAnsi="Symbol"/>
          <w:sz w:val="24"/>
          <w:szCs w:val="24"/>
        </w:rPr>
        <w:t></w:t>
      </w:r>
      <w:proofErr w:type="spellStart"/>
      <w:r w:rsidRPr="00D548D1">
        <w:rPr>
          <w:rFonts w:ascii="Times New Roman" w:hAnsi="Times New Roman" w:cs="Times New Roman"/>
          <w:sz w:val="24"/>
          <w:szCs w:val="24"/>
          <w:vertAlign w:val="subscript"/>
        </w:rPr>
        <w:t>Nd</w:t>
      </w:r>
      <w:proofErr w:type="spellEnd"/>
      <w:r w:rsidRPr="00D548D1">
        <w:rPr>
          <w:rFonts w:ascii="Times New Roman" w:hAnsi="Times New Roman" w:cs="Times New Roman"/>
          <w:sz w:val="24"/>
          <w:szCs w:val="24"/>
        </w:rPr>
        <w:t>)</w:t>
      </w:r>
      <w:r>
        <w:rPr>
          <w:sz w:val="24"/>
          <w:szCs w:val="24"/>
        </w:rPr>
        <w:t xml:space="preserve"> </w:t>
      </w:r>
      <w:r w:rsidRPr="00D548D1">
        <w:rPr>
          <w:rFonts w:ascii="Times New Roman" w:hAnsi="Times New Roman" w:cs="Times New Roman"/>
          <w:sz w:val="24"/>
          <w:szCs w:val="24"/>
        </w:rPr>
        <w:t>measures the evolution of the mantle reservoir so is a record of the age at which the rock was extracted from the mantle. The elements behave similarly during weathering and diagenesis so sediment weathered entirely from Devonian granites would have the same</w:t>
      </w:r>
      <w:r>
        <w:rPr>
          <w:sz w:val="24"/>
          <w:szCs w:val="24"/>
        </w:rPr>
        <w:t xml:space="preserve"> </w:t>
      </w:r>
      <w:r w:rsidRPr="00BD57C4">
        <w:rPr>
          <w:rFonts w:ascii="Symbol" w:hAnsi="Symbol"/>
          <w:sz w:val="24"/>
          <w:szCs w:val="24"/>
        </w:rPr>
        <w:t></w:t>
      </w:r>
      <w:proofErr w:type="spellStart"/>
      <w:r>
        <w:rPr>
          <w:sz w:val="24"/>
          <w:szCs w:val="24"/>
          <w:vertAlign w:val="subscript"/>
        </w:rPr>
        <w:t>Nd</w:t>
      </w:r>
      <w:proofErr w:type="spellEnd"/>
      <w:r>
        <w:rPr>
          <w:sz w:val="24"/>
          <w:szCs w:val="24"/>
        </w:rPr>
        <w:t xml:space="preserve"> </w:t>
      </w:r>
      <w:r w:rsidRPr="00D548D1">
        <w:rPr>
          <w:rFonts w:ascii="Times New Roman" w:hAnsi="Times New Roman" w:cs="Times New Roman"/>
          <w:sz w:val="24"/>
          <w:szCs w:val="24"/>
        </w:rPr>
        <w:t xml:space="preserve">as the granites themselves. More negative </w:t>
      </w:r>
      <w:r w:rsidRPr="00D548D1">
        <w:rPr>
          <w:rFonts w:ascii="Symbol" w:hAnsi="Symbol" w:cs="Times New Roman"/>
          <w:sz w:val="24"/>
          <w:szCs w:val="24"/>
        </w:rPr>
        <w:t></w:t>
      </w:r>
      <w:proofErr w:type="spellStart"/>
      <w:r w:rsidRPr="00D548D1">
        <w:rPr>
          <w:rFonts w:ascii="Times New Roman" w:hAnsi="Times New Roman" w:cs="Times New Roman"/>
          <w:sz w:val="24"/>
          <w:szCs w:val="24"/>
          <w:vertAlign w:val="subscript"/>
        </w:rPr>
        <w:t>Nd</w:t>
      </w:r>
      <w:proofErr w:type="spellEnd"/>
      <w:r w:rsidRPr="00D548D1">
        <w:rPr>
          <w:rFonts w:ascii="Times New Roman" w:hAnsi="Times New Roman" w:cs="Times New Roman"/>
          <w:sz w:val="24"/>
          <w:szCs w:val="24"/>
        </w:rPr>
        <w:t xml:space="preserve"> values correspond to older mantle extraction ages.</w:t>
      </w:r>
    </w:p>
    <w:p w:rsidR="00BD57C4" w:rsidRDefault="00BD57C4" w:rsidP="007B01BD">
      <w:pPr>
        <w:spacing w:after="0" w:line="240" w:lineRule="auto"/>
        <w:rPr>
          <w:sz w:val="24"/>
          <w:szCs w:val="24"/>
        </w:rPr>
      </w:pPr>
    </w:p>
    <w:p w:rsidR="00BD57C4" w:rsidRPr="00D548D1" w:rsidRDefault="00BD57C4"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Strontium isotopes (</w:t>
      </w:r>
      <w:r w:rsidRPr="00D548D1">
        <w:rPr>
          <w:rFonts w:ascii="Times New Roman" w:hAnsi="Times New Roman" w:cs="Times New Roman"/>
          <w:sz w:val="24"/>
          <w:szCs w:val="24"/>
          <w:vertAlign w:val="superscript"/>
        </w:rPr>
        <w:t>87</w:t>
      </w:r>
      <w:r w:rsidRPr="00D548D1">
        <w:rPr>
          <w:rFonts w:ascii="Times New Roman" w:hAnsi="Times New Roman" w:cs="Times New Roman"/>
          <w:sz w:val="24"/>
          <w:szCs w:val="24"/>
        </w:rPr>
        <w:t>Sr/</w:t>
      </w:r>
      <w:r w:rsidRPr="00D548D1">
        <w:rPr>
          <w:rFonts w:ascii="Times New Roman" w:hAnsi="Times New Roman" w:cs="Times New Roman"/>
          <w:sz w:val="24"/>
          <w:szCs w:val="24"/>
          <w:vertAlign w:val="superscript"/>
        </w:rPr>
        <w:t>86</w:t>
      </w:r>
      <w:r w:rsidRPr="00D548D1">
        <w:rPr>
          <w:rFonts w:ascii="Times New Roman" w:hAnsi="Times New Roman" w:cs="Times New Roman"/>
          <w:sz w:val="24"/>
          <w:szCs w:val="24"/>
        </w:rPr>
        <w:t xml:space="preserve">Sr, also reported </w:t>
      </w:r>
      <w:r w:rsidR="00827A98" w:rsidRPr="00D548D1">
        <w:rPr>
          <w:rFonts w:ascii="Times New Roman" w:hAnsi="Times New Roman" w:cs="Times New Roman"/>
          <w:sz w:val="24"/>
          <w:szCs w:val="24"/>
        </w:rPr>
        <w:t xml:space="preserve">here </w:t>
      </w:r>
      <w:r w:rsidRPr="00D548D1">
        <w:rPr>
          <w:rFonts w:ascii="Times New Roman" w:hAnsi="Times New Roman" w:cs="Times New Roman"/>
          <w:sz w:val="24"/>
          <w:szCs w:val="24"/>
        </w:rPr>
        <w:t>with the epsilon notation)</w:t>
      </w:r>
      <w:r w:rsidR="003F6895" w:rsidRPr="00D548D1">
        <w:rPr>
          <w:rFonts w:ascii="Times New Roman" w:hAnsi="Times New Roman" w:cs="Times New Roman"/>
          <w:sz w:val="24"/>
          <w:szCs w:val="24"/>
        </w:rPr>
        <w:t xml:space="preserve"> </w:t>
      </w:r>
      <w:r w:rsidR="00FF1CAA" w:rsidRPr="00D548D1">
        <w:rPr>
          <w:rFonts w:ascii="Times New Roman" w:hAnsi="Times New Roman" w:cs="Times New Roman"/>
          <w:sz w:val="24"/>
          <w:szCs w:val="24"/>
        </w:rPr>
        <w:t>are</w:t>
      </w:r>
      <w:r w:rsidR="003F6895" w:rsidRPr="00D548D1">
        <w:rPr>
          <w:rFonts w:ascii="Times New Roman" w:hAnsi="Times New Roman" w:cs="Times New Roman"/>
          <w:sz w:val="24"/>
          <w:szCs w:val="24"/>
        </w:rPr>
        <w:t xml:space="preserve"> a measure of magma differentiation. </w:t>
      </w:r>
      <w:r w:rsidR="00827A98" w:rsidRPr="00D548D1">
        <w:rPr>
          <w:rFonts w:ascii="Times New Roman" w:hAnsi="Times New Roman" w:cs="Times New Roman"/>
          <w:sz w:val="24"/>
          <w:szCs w:val="24"/>
        </w:rPr>
        <w:t>D</w:t>
      </w:r>
      <w:r w:rsidR="003F6895" w:rsidRPr="00D548D1">
        <w:rPr>
          <w:rFonts w:ascii="Times New Roman" w:hAnsi="Times New Roman" w:cs="Times New Roman"/>
          <w:sz w:val="24"/>
          <w:szCs w:val="24"/>
        </w:rPr>
        <w:t>ifferentiated continental rocks have high values, whereas primitive mantle rocks (like mid-ocean basalts) have low values.</w:t>
      </w:r>
      <w:r w:rsidR="00416F8F" w:rsidRPr="00D548D1">
        <w:rPr>
          <w:rFonts w:ascii="Times New Roman" w:hAnsi="Times New Roman" w:cs="Times New Roman"/>
          <w:sz w:val="24"/>
          <w:szCs w:val="24"/>
        </w:rPr>
        <w:t xml:space="preserve"> In an arc, higher values occur in continental arcs, indicating more crustal contamination.</w:t>
      </w:r>
    </w:p>
    <w:p w:rsidR="00EB15F1" w:rsidRDefault="00944327" w:rsidP="003F6895">
      <w:pPr>
        <w:spacing w:after="0" w:line="240" w:lineRule="auto"/>
        <w:jc w:val="center"/>
        <w:rPr>
          <w:sz w:val="24"/>
          <w:szCs w:val="24"/>
        </w:rPr>
      </w:pPr>
      <w:r>
        <w:rPr>
          <w:noProof/>
          <w:sz w:val="24"/>
          <w:szCs w:val="24"/>
          <w:lang w:val="en-US"/>
        </w:rPr>
        <w:lastRenderedPageBreak/>
        <w:drawing>
          <wp:inline distT="0" distB="0" distL="0" distR="0" wp14:anchorId="28E30B9E" wp14:editId="29416E30">
            <wp:extent cx="2305050" cy="308265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 epsilon Nd.png"/>
                    <pic:cNvPicPr/>
                  </pic:nvPicPr>
                  <pic:blipFill>
                    <a:blip r:embed="rId8">
                      <a:extLst>
                        <a:ext uri="{28A0092B-C50C-407E-A947-70E740481C1C}">
                          <a14:useLocalDpi xmlns:a14="http://schemas.microsoft.com/office/drawing/2010/main" val="0"/>
                        </a:ext>
                      </a:extLst>
                    </a:blip>
                    <a:stretch>
                      <a:fillRect/>
                    </a:stretch>
                  </pic:blipFill>
                  <pic:spPr>
                    <a:xfrm>
                      <a:off x="0" y="0"/>
                      <a:ext cx="2313590" cy="3094079"/>
                    </a:xfrm>
                    <a:prstGeom prst="rect">
                      <a:avLst/>
                    </a:prstGeom>
                  </pic:spPr>
                </pic:pic>
              </a:graphicData>
            </a:graphic>
          </wp:inline>
        </w:drawing>
      </w:r>
    </w:p>
    <w:p w:rsidR="00944327" w:rsidRPr="00D548D1" w:rsidRDefault="00944327" w:rsidP="00944327">
      <w:pPr>
        <w:spacing w:after="0" w:line="240" w:lineRule="auto"/>
        <w:rPr>
          <w:rFonts w:ascii="Times New Roman" w:hAnsi="Times New Roman" w:cs="Times New Roman"/>
          <w:sz w:val="20"/>
          <w:szCs w:val="20"/>
        </w:rPr>
      </w:pPr>
      <w:r w:rsidRPr="00D548D1">
        <w:rPr>
          <w:rFonts w:ascii="Times New Roman" w:hAnsi="Times New Roman" w:cs="Times New Roman"/>
          <w:b/>
          <w:sz w:val="20"/>
          <w:szCs w:val="20"/>
        </w:rPr>
        <w:t>Fig. 2.</w:t>
      </w:r>
      <w:r w:rsidRPr="00D548D1">
        <w:rPr>
          <w:rFonts w:ascii="Times New Roman" w:hAnsi="Times New Roman" w:cs="Times New Roman"/>
          <w:sz w:val="20"/>
          <w:szCs w:val="20"/>
        </w:rPr>
        <w:t xml:space="preserve"> Epsilon neodymium (</w:t>
      </w:r>
      <w:r w:rsidRPr="00D548D1">
        <w:rPr>
          <w:rFonts w:ascii="Symbol" w:hAnsi="Symbol" w:cs="Times New Roman"/>
          <w:sz w:val="20"/>
          <w:szCs w:val="20"/>
        </w:rPr>
        <w:t></w:t>
      </w:r>
      <w:proofErr w:type="spellStart"/>
      <w:r w:rsidRPr="00D548D1">
        <w:rPr>
          <w:rFonts w:ascii="Times New Roman" w:hAnsi="Times New Roman" w:cs="Times New Roman"/>
          <w:sz w:val="20"/>
          <w:szCs w:val="20"/>
          <w:vertAlign w:val="subscript"/>
        </w:rPr>
        <w:t>Nd</w:t>
      </w:r>
      <w:proofErr w:type="spellEnd"/>
      <w:r w:rsidRPr="00D548D1">
        <w:rPr>
          <w:rFonts w:ascii="Times New Roman" w:hAnsi="Times New Roman" w:cs="Times New Roman"/>
          <w:sz w:val="20"/>
          <w:szCs w:val="20"/>
        </w:rPr>
        <w:t xml:space="preserve">) contours showing the generally eastward decline in </w:t>
      </w:r>
      <w:r w:rsidRPr="00D548D1">
        <w:rPr>
          <w:rFonts w:ascii="Symbol" w:hAnsi="Symbol" w:cs="Times New Roman"/>
          <w:sz w:val="20"/>
          <w:szCs w:val="20"/>
        </w:rPr>
        <w:t></w:t>
      </w:r>
      <w:proofErr w:type="spellStart"/>
      <w:r w:rsidRPr="00D548D1">
        <w:rPr>
          <w:rFonts w:ascii="Times New Roman" w:hAnsi="Times New Roman" w:cs="Times New Roman"/>
          <w:sz w:val="20"/>
          <w:szCs w:val="20"/>
          <w:vertAlign w:val="subscript"/>
        </w:rPr>
        <w:t>Nd</w:t>
      </w:r>
      <w:proofErr w:type="spellEnd"/>
      <w:r w:rsidRPr="00D548D1">
        <w:rPr>
          <w:rFonts w:ascii="Times New Roman" w:hAnsi="Times New Roman" w:cs="Times New Roman"/>
          <w:sz w:val="20"/>
          <w:szCs w:val="20"/>
        </w:rPr>
        <w:t xml:space="preserve"> values from west to east across the Sierra Nevada arc (reflecting increasing contribution from </w:t>
      </w:r>
      <w:proofErr w:type="spellStart"/>
      <w:r w:rsidRPr="00D548D1">
        <w:rPr>
          <w:rFonts w:ascii="Times New Roman" w:hAnsi="Times New Roman" w:cs="Times New Roman"/>
          <w:sz w:val="20"/>
          <w:szCs w:val="20"/>
        </w:rPr>
        <w:t>cratonic</w:t>
      </w:r>
      <w:proofErr w:type="spellEnd"/>
      <w:r w:rsidRPr="00D548D1">
        <w:rPr>
          <w:rFonts w:ascii="Times New Roman" w:hAnsi="Times New Roman" w:cs="Times New Roman"/>
          <w:sz w:val="20"/>
          <w:szCs w:val="20"/>
        </w:rPr>
        <w:t xml:space="preserve"> basement).</w:t>
      </w:r>
    </w:p>
    <w:p w:rsidR="00944327" w:rsidRDefault="00944327" w:rsidP="008B29F5">
      <w:pPr>
        <w:spacing w:after="0" w:line="240" w:lineRule="auto"/>
        <w:rPr>
          <w:sz w:val="24"/>
          <w:szCs w:val="24"/>
        </w:rPr>
      </w:pPr>
    </w:p>
    <w:p w:rsidR="00616610" w:rsidRPr="00D548D1" w:rsidRDefault="00344E51" w:rsidP="007B01BD">
      <w:pPr>
        <w:spacing w:after="0" w:line="240" w:lineRule="auto"/>
        <w:rPr>
          <w:rFonts w:ascii="Times New Roman" w:hAnsi="Times New Roman" w:cs="Times New Roman"/>
          <w:sz w:val="20"/>
          <w:szCs w:val="20"/>
        </w:rPr>
      </w:pPr>
      <w:r w:rsidRPr="00D548D1">
        <w:rPr>
          <w:rFonts w:ascii="Times New Roman" w:hAnsi="Times New Roman" w:cs="Times New Roman"/>
          <w:b/>
          <w:sz w:val="20"/>
          <w:szCs w:val="20"/>
        </w:rPr>
        <w:t>Table 2.</w:t>
      </w:r>
      <w:r w:rsidRPr="00D548D1">
        <w:rPr>
          <w:rFonts w:ascii="Times New Roman" w:hAnsi="Times New Roman" w:cs="Times New Roman"/>
          <w:sz w:val="20"/>
          <w:szCs w:val="20"/>
        </w:rPr>
        <w:t xml:space="preserve"> Neodymium and strontium isotope systematics of Great Valley Group samples.</w:t>
      </w:r>
    </w:p>
    <w:tbl>
      <w:tblPr>
        <w:tblStyle w:val="TableGrid"/>
        <w:tblW w:w="0" w:type="auto"/>
        <w:tblLook w:val="04A0" w:firstRow="1" w:lastRow="0" w:firstColumn="1" w:lastColumn="0" w:noHBand="0" w:noVBand="1"/>
      </w:tblPr>
      <w:tblGrid>
        <w:gridCol w:w="1728"/>
        <w:gridCol w:w="1620"/>
        <w:gridCol w:w="1350"/>
      </w:tblGrid>
      <w:tr w:rsidR="00616610" w:rsidTr="00616610">
        <w:tc>
          <w:tcPr>
            <w:tcW w:w="1728" w:type="dxa"/>
            <w:vAlign w:val="center"/>
          </w:tcPr>
          <w:p w:rsidR="00616610" w:rsidRPr="008B29F5" w:rsidRDefault="00616610" w:rsidP="00616610">
            <w:pPr>
              <w:jc w:val="center"/>
              <w:rPr>
                <w:b/>
                <w:sz w:val="20"/>
                <w:szCs w:val="20"/>
              </w:rPr>
            </w:pPr>
            <w:r w:rsidRPr="008B29F5">
              <w:rPr>
                <w:b/>
                <w:sz w:val="20"/>
                <w:szCs w:val="20"/>
              </w:rPr>
              <w:t>Age (Ma)</w:t>
            </w:r>
          </w:p>
        </w:tc>
        <w:tc>
          <w:tcPr>
            <w:tcW w:w="1620" w:type="dxa"/>
          </w:tcPr>
          <w:p w:rsidR="00616610" w:rsidRPr="008B29F5" w:rsidRDefault="00616610" w:rsidP="00616610">
            <w:pPr>
              <w:jc w:val="center"/>
              <w:rPr>
                <w:b/>
                <w:sz w:val="20"/>
                <w:szCs w:val="20"/>
              </w:rPr>
            </w:pPr>
            <w:r w:rsidRPr="008B29F5">
              <w:rPr>
                <w:rFonts w:ascii="Symbol" w:hAnsi="Symbol"/>
                <w:b/>
                <w:sz w:val="20"/>
                <w:szCs w:val="20"/>
              </w:rPr>
              <w:t></w:t>
            </w:r>
            <w:proofErr w:type="spellStart"/>
            <w:r w:rsidRPr="008B29F5">
              <w:rPr>
                <w:b/>
                <w:sz w:val="20"/>
                <w:szCs w:val="20"/>
                <w:vertAlign w:val="subscript"/>
              </w:rPr>
              <w:t>Nd</w:t>
            </w:r>
            <w:proofErr w:type="spellEnd"/>
          </w:p>
        </w:tc>
        <w:tc>
          <w:tcPr>
            <w:tcW w:w="1350" w:type="dxa"/>
          </w:tcPr>
          <w:p w:rsidR="00616610" w:rsidRPr="008B29F5" w:rsidRDefault="00616610" w:rsidP="00616610">
            <w:pPr>
              <w:jc w:val="center"/>
              <w:rPr>
                <w:b/>
                <w:sz w:val="20"/>
                <w:szCs w:val="20"/>
              </w:rPr>
            </w:pPr>
            <w:r w:rsidRPr="008B29F5">
              <w:rPr>
                <w:rFonts w:ascii="Symbol" w:hAnsi="Symbol"/>
                <w:b/>
                <w:sz w:val="20"/>
                <w:szCs w:val="20"/>
              </w:rPr>
              <w:t></w:t>
            </w:r>
            <w:proofErr w:type="spellStart"/>
            <w:r w:rsidRPr="008B29F5">
              <w:rPr>
                <w:b/>
                <w:sz w:val="20"/>
                <w:szCs w:val="20"/>
                <w:vertAlign w:val="subscript"/>
              </w:rPr>
              <w:t>Sr</w:t>
            </w:r>
            <w:proofErr w:type="spellEnd"/>
          </w:p>
        </w:tc>
      </w:tr>
      <w:tr w:rsidR="00616610" w:rsidTr="00616610">
        <w:tc>
          <w:tcPr>
            <w:tcW w:w="1728" w:type="dxa"/>
          </w:tcPr>
          <w:p w:rsidR="00616610" w:rsidRPr="008B29F5" w:rsidRDefault="00616610" w:rsidP="00616610">
            <w:pPr>
              <w:jc w:val="center"/>
              <w:rPr>
                <w:sz w:val="20"/>
                <w:szCs w:val="20"/>
              </w:rPr>
            </w:pPr>
            <w:r w:rsidRPr="008B29F5">
              <w:rPr>
                <w:sz w:val="20"/>
                <w:szCs w:val="20"/>
              </w:rPr>
              <w:t>73</w:t>
            </w:r>
          </w:p>
        </w:tc>
        <w:tc>
          <w:tcPr>
            <w:tcW w:w="1620" w:type="dxa"/>
          </w:tcPr>
          <w:p w:rsidR="00616610" w:rsidRPr="008B29F5" w:rsidRDefault="00616610" w:rsidP="00616610">
            <w:pPr>
              <w:jc w:val="center"/>
              <w:rPr>
                <w:sz w:val="20"/>
                <w:szCs w:val="20"/>
              </w:rPr>
            </w:pPr>
            <w:r w:rsidRPr="008B29F5">
              <w:rPr>
                <w:sz w:val="20"/>
                <w:szCs w:val="20"/>
              </w:rPr>
              <w:t>-3.2</w:t>
            </w:r>
          </w:p>
        </w:tc>
        <w:tc>
          <w:tcPr>
            <w:tcW w:w="1350" w:type="dxa"/>
          </w:tcPr>
          <w:p w:rsidR="00616610" w:rsidRPr="008B29F5" w:rsidRDefault="00616610" w:rsidP="00616610">
            <w:pPr>
              <w:jc w:val="center"/>
              <w:rPr>
                <w:sz w:val="20"/>
                <w:szCs w:val="20"/>
              </w:rPr>
            </w:pPr>
            <w:r w:rsidRPr="008B29F5">
              <w:rPr>
                <w:sz w:val="20"/>
                <w:szCs w:val="20"/>
              </w:rPr>
              <w:t>22.1</w:t>
            </w:r>
          </w:p>
        </w:tc>
      </w:tr>
      <w:tr w:rsidR="00616610" w:rsidTr="00616610">
        <w:tc>
          <w:tcPr>
            <w:tcW w:w="1728" w:type="dxa"/>
          </w:tcPr>
          <w:p w:rsidR="00616610" w:rsidRPr="008B29F5" w:rsidRDefault="00616610" w:rsidP="00616610">
            <w:pPr>
              <w:jc w:val="center"/>
              <w:rPr>
                <w:sz w:val="20"/>
                <w:szCs w:val="20"/>
              </w:rPr>
            </w:pPr>
            <w:r w:rsidRPr="008B29F5">
              <w:rPr>
                <w:sz w:val="20"/>
                <w:szCs w:val="20"/>
              </w:rPr>
              <w:t>77</w:t>
            </w:r>
          </w:p>
        </w:tc>
        <w:tc>
          <w:tcPr>
            <w:tcW w:w="1620" w:type="dxa"/>
          </w:tcPr>
          <w:p w:rsidR="00616610" w:rsidRPr="008B29F5" w:rsidRDefault="00616610" w:rsidP="00616610">
            <w:pPr>
              <w:jc w:val="center"/>
              <w:rPr>
                <w:sz w:val="20"/>
                <w:szCs w:val="20"/>
              </w:rPr>
            </w:pPr>
            <w:r w:rsidRPr="008B29F5">
              <w:rPr>
                <w:sz w:val="20"/>
                <w:szCs w:val="20"/>
              </w:rPr>
              <w:t>-4.3</w:t>
            </w:r>
          </w:p>
        </w:tc>
        <w:tc>
          <w:tcPr>
            <w:tcW w:w="1350" w:type="dxa"/>
          </w:tcPr>
          <w:p w:rsidR="00616610" w:rsidRPr="008B29F5" w:rsidRDefault="00616610" w:rsidP="00D32DEF">
            <w:pPr>
              <w:jc w:val="center"/>
              <w:rPr>
                <w:sz w:val="20"/>
                <w:szCs w:val="20"/>
              </w:rPr>
            </w:pPr>
            <w:r w:rsidRPr="008B29F5">
              <w:rPr>
                <w:sz w:val="20"/>
                <w:szCs w:val="20"/>
              </w:rPr>
              <w:t>32.7</w:t>
            </w:r>
          </w:p>
        </w:tc>
      </w:tr>
      <w:tr w:rsidR="00616610" w:rsidTr="00616610">
        <w:tc>
          <w:tcPr>
            <w:tcW w:w="1728" w:type="dxa"/>
          </w:tcPr>
          <w:p w:rsidR="00616610" w:rsidRPr="008B29F5" w:rsidRDefault="00616610" w:rsidP="00616610">
            <w:pPr>
              <w:jc w:val="center"/>
              <w:rPr>
                <w:sz w:val="20"/>
                <w:szCs w:val="20"/>
              </w:rPr>
            </w:pPr>
            <w:r w:rsidRPr="008B29F5">
              <w:rPr>
                <w:sz w:val="20"/>
                <w:szCs w:val="20"/>
              </w:rPr>
              <w:t>80</w:t>
            </w:r>
          </w:p>
        </w:tc>
        <w:tc>
          <w:tcPr>
            <w:tcW w:w="1620" w:type="dxa"/>
          </w:tcPr>
          <w:p w:rsidR="00616610" w:rsidRPr="008B29F5" w:rsidRDefault="00616610" w:rsidP="00616610">
            <w:pPr>
              <w:jc w:val="center"/>
              <w:rPr>
                <w:sz w:val="20"/>
                <w:szCs w:val="20"/>
              </w:rPr>
            </w:pPr>
            <w:r w:rsidRPr="008B29F5">
              <w:rPr>
                <w:sz w:val="20"/>
                <w:szCs w:val="20"/>
              </w:rPr>
              <w:t>-4.0</w:t>
            </w:r>
          </w:p>
        </w:tc>
        <w:tc>
          <w:tcPr>
            <w:tcW w:w="1350" w:type="dxa"/>
          </w:tcPr>
          <w:p w:rsidR="00616610" w:rsidRPr="008B29F5" w:rsidRDefault="00616610" w:rsidP="00D32DEF">
            <w:pPr>
              <w:jc w:val="center"/>
              <w:rPr>
                <w:sz w:val="20"/>
                <w:szCs w:val="20"/>
              </w:rPr>
            </w:pPr>
            <w:r w:rsidRPr="008B29F5">
              <w:rPr>
                <w:sz w:val="20"/>
                <w:szCs w:val="20"/>
              </w:rPr>
              <w:t>37.0</w:t>
            </w:r>
          </w:p>
        </w:tc>
      </w:tr>
      <w:tr w:rsidR="00616610" w:rsidTr="00616610">
        <w:tc>
          <w:tcPr>
            <w:tcW w:w="1728" w:type="dxa"/>
          </w:tcPr>
          <w:p w:rsidR="00616610" w:rsidRPr="008B29F5" w:rsidRDefault="00616610" w:rsidP="00616610">
            <w:pPr>
              <w:jc w:val="center"/>
              <w:rPr>
                <w:sz w:val="20"/>
                <w:szCs w:val="20"/>
              </w:rPr>
            </w:pPr>
            <w:r w:rsidRPr="008B29F5">
              <w:rPr>
                <w:sz w:val="20"/>
                <w:szCs w:val="20"/>
              </w:rPr>
              <w:t>81</w:t>
            </w:r>
          </w:p>
        </w:tc>
        <w:tc>
          <w:tcPr>
            <w:tcW w:w="1620" w:type="dxa"/>
          </w:tcPr>
          <w:p w:rsidR="00616610" w:rsidRPr="008B29F5" w:rsidRDefault="00616610" w:rsidP="00616610">
            <w:pPr>
              <w:jc w:val="center"/>
              <w:rPr>
                <w:sz w:val="20"/>
                <w:szCs w:val="20"/>
              </w:rPr>
            </w:pPr>
            <w:r w:rsidRPr="008B29F5">
              <w:rPr>
                <w:sz w:val="20"/>
                <w:szCs w:val="20"/>
              </w:rPr>
              <w:t>-4.3</w:t>
            </w:r>
          </w:p>
        </w:tc>
        <w:tc>
          <w:tcPr>
            <w:tcW w:w="1350" w:type="dxa"/>
          </w:tcPr>
          <w:p w:rsidR="00616610" w:rsidRPr="008B29F5" w:rsidRDefault="00616610" w:rsidP="00D32DEF">
            <w:pPr>
              <w:jc w:val="center"/>
              <w:rPr>
                <w:sz w:val="20"/>
                <w:szCs w:val="20"/>
              </w:rPr>
            </w:pPr>
            <w:r w:rsidRPr="008B29F5">
              <w:rPr>
                <w:sz w:val="20"/>
                <w:szCs w:val="20"/>
              </w:rPr>
              <w:t>40.5</w:t>
            </w:r>
          </w:p>
        </w:tc>
      </w:tr>
      <w:tr w:rsidR="00616610" w:rsidTr="00616610">
        <w:tc>
          <w:tcPr>
            <w:tcW w:w="1728" w:type="dxa"/>
          </w:tcPr>
          <w:p w:rsidR="00616610" w:rsidRPr="008B29F5" w:rsidRDefault="00616610" w:rsidP="00616610">
            <w:pPr>
              <w:jc w:val="center"/>
              <w:rPr>
                <w:sz w:val="20"/>
                <w:szCs w:val="20"/>
              </w:rPr>
            </w:pPr>
            <w:r w:rsidRPr="008B29F5">
              <w:rPr>
                <w:sz w:val="20"/>
                <w:szCs w:val="20"/>
              </w:rPr>
              <w:t>84</w:t>
            </w:r>
          </w:p>
        </w:tc>
        <w:tc>
          <w:tcPr>
            <w:tcW w:w="1620" w:type="dxa"/>
          </w:tcPr>
          <w:p w:rsidR="00616610" w:rsidRPr="008B29F5" w:rsidRDefault="00616610" w:rsidP="00616610">
            <w:pPr>
              <w:jc w:val="center"/>
              <w:rPr>
                <w:sz w:val="20"/>
                <w:szCs w:val="20"/>
              </w:rPr>
            </w:pPr>
            <w:r w:rsidRPr="008B29F5">
              <w:rPr>
                <w:sz w:val="20"/>
                <w:szCs w:val="20"/>
              </w:rPr>
              <w:t>-1.8</w:t>
            </w:r>
          </w:p>
        </w:tc>
        <w:tc>
          <w:tcPr>
            <w:tcW w:w="1350" w:type="dxa"/>
          </w:tcPr>
          <w:p w:rsidR="00616610" w:rsidRPr="008B29F5" w:rsidRDefault="00616610" w:rsidP="00D32DEF">
            <w:pPr>
              <w:jc w:val="center"/>
              <w:rPr>
                <w:sz w:val="20"/>
                <w:szCs w:val="20"/>
              </w:rPr>
            </w:pPr>
            <w:r w:rsidRPr="008B29F5">
              <w:rPr>
                <w:sz w:val="20"/>
                <w:szCs w:val="20"/>
              </w:rPr>
              <w:t>22.6</w:t>
            </w:r>
          </w:p>
        </w:tc>
      </w:tr>
      <w:tr w:rsidR="00616610" w:rsidTr="00616610">
        <w:tc>
          <w:tcPr>
            <w:tcW w:w="1728" w:type="dxa"/>
          </w:tcPr>
          <w:p w:rsidR="00616610" w:rsidRPr="008B29F5" w:rsidRDefault="00616610" w:rsidP="00616610">
            <w:pPr>
              <w:jc w:val="center"/>
              <w:rPr>
                <w:sz w:val="20"/>
                <w:szCs w:val="20"/>
              </w:rPr>
            </w:pPr>
            <w:r w:rsidRPr="008B29F5">
              <w:rPr>
                <w:sz w:val="20"/>
                <w:szCs w:val="20"/>
              </w:rPr>
              <w:t>88</w:t>
            </w:r>
          </w:p>
        </w:tc>
        <w:tc>
          <w:tcPr>
            <w:tcW w:w="1620" w:type="dxa"/>
          </w:tcPr>
          <w:p w:rsidR="00616610" w:rsidRPr="008B29F5" w:rsidRDefault="00616610" w:rsidP="00616610">
            <w:pPr>
              <w:jc w:val="center"/>
              <w:rPr>
                <w:sz w:val="20"/>
                <w:szCs w:val="20"/>
              </w:rPr>
            </w:pPr>
            <w:r w:rsidRPr="008B29F5">
              <w:rPr>
                <w:sz w:val="20"/>
                <w:szCs w:val="20"/>
              </w:rPr>
              <w:t>-3.8</w:t>
            </w:r>
          </w:p>
        </w:tc>
        <w:tc>
          <w:tcPr>
            <w:tcW w:w="1350" w:type="dxa"/>
          </w:tcPr>
          <w:p w:rsidR="00616610" w:rsidRPr="008B29F5" w:rsidRDefault="00616610" w:rsidP="00D32DEF">
            <w:pPr>
              <w:jc w:val="center"/>
              <w:rPr>
                <w:sz w:val="20"/>
                <w:szCs w:val="20"/>
              </w:rPr>
            </w:pPr>
            <w:r w:rsidRPr="008B29F5">
              <w:rPr>
                <w:sz w:val="20"/>
                <w:szCs w:val="20"/>
              </w:rPr>
              <w:t>31.4</w:t>
            </w:r>
          </w:p>
        </w:tc>
      </w:tr>
      <w:tr w:rsidR="00616610" w:rsidTr="00616610">
        <w:tc>
          <w:tcPr>
            <w:tcW w:w="1728" w:type="dxa"/>
          </w:tcPr>
          <w:p w:rsidR="00616610" w:rsidRPr="008B29F5" w:rsidRDefault="00616610" w:rsidP="00616610">
            <w:pPr>
              <w:jc w:val="center"/>
              <w:rPr>
                <w:sz w:val="20"/>
                <w:szCs w:val="20"/>
              </w:rPr>
            </w:pPr>
            <w:r w:rsidRPr="008B29F5">
              <w:rPr>
                <w:sz w:val="20"/>
                <w:szCs w:val="20"/>
              </w:rPr>
              <w:t>90</w:t>
            </w:r>
          </w:p>
        </w:tc>
        <w:tc>
          <w:tcPr>
            <w:tcW w:w="1620" w:type="dxa"/>
          </w:tcPr>
          <w:p w:rsidR="00616610" w:rsidRPr="008B29F5" w:rsidRDefault="00616610" w:rsidP="00616610">
            <w:pPr>
              <w:jc w:val="center"/>
              <w:rPr>
                <w:sz w:val="20"/>
                <w:szCs w:val="20"/>
              </w:rPr>
            </w:pPr>
            <w:r w:rsidRPr="008B29F5">
              <w:rPr>
                <w:sz w:val="20"/>
                <w:szCs w:val="20"/>
              </w:rPr>
              <w:t>-1.4</w:t>
            </w:r>
          </w:p>
        </w:tc>
        <w:tc>
          <w:tcPr>
            <w:tcW w:w="1350" w:type="dxa"/>
          </w:tcPr>
          <w:p w:rsidR="00616610" w:rsidRPr="008B29F5" w:rsidRDefault="00616610" w:rsidP="00D32DEF">
            <w:pPr>
              <w:jc w:val="center"/>
              <w:rPr>
                <w:sz w:val="20"/>
                <w:szCs w:val="20"/>
              </w:rPr>
            </w:pPr>
            <w:r w:rsidRPr="008B29F5">
              <w:rPr>
                <w:sz w:val="20"/>
                <w:szCs w:val="20"/>
              </w:rPr>
              <w:t>13.1</w:t>
            </w:r>
          </w:p>
        </w:tc>
      </w:tr>
      <w:tr w:rsidR="00616610" w:rsidTr="00616610">
        <w:tc>
          <w:tcPr>
            <w:tcW w:w="1728" w:type="dxa"/>
          </w:tcPr>
          <w:p w:rsidR="00616610" w:rsidRPr="008B29F5" w:rsidRDefault="00616610" w:rsidP="00616610">
            <w:pPr>
              <w:jc w:val="center"/>
              <w:rPr>
                <w:sz w:val="20"/>
                <w:szCs w:val="20"/>
              </w:rPr>
            </w:pPr>
            <w:r w:rsidRPr="008B29F5">
              <w:rPr>
                <w:sz w:val="20"/>
                <w:szCs w:val="20"/>
              </w:rPr>
              <w:t>92</w:t>
            </w:r>
          </w:p>
        </w:tc>
        <w:tc>
          <w:tcPr>
            <w:tcW w:w="1620" w:type="dxa"/>
          </w:tcPr>
          <w:p w:rsidR="00616610" w:rsidRPr="008B29F5" w:rsidRDefault="00616610" w:rsidP="00616610">
            <w:pPr>
              <w:jc w:val="center"/>
              <w:rPr>
                <w:sz w:val="20"/>
                <w:szCs w:val="20"/>
              </w:rPr>
            </w:pPr>
            <w:r w:rsidRPr="008B29F5">
              <w:rPr>
                <w:sz w:val="20"/>
                <w:szCs w:val="20"/>
              </w:rPr>
              <w:t>-2.3</w:t>
            </w:r>
          </w:p>
        </w:tc>
        <w:tc>
          <w:tcPr>
            <w:tcW w:w="1350" w:type="dxa"/>
          </w:tcPr>
          <w:p w:rsidR="00616610" w:rsidRPr="008B29F5" w:rsidRDefault="00616610" w:rsidP="00D32DEF">
            <w:pPr>
              <w:jc w:val="center"/>
              <w:rPr>
                <w:sz w:val="20"/>
                <w:szCs w:val="20"/>
              </w:rPr>
            </w:pPr>
            <w:r w:rsidRPr="008B29F5">
              <w:rPr>
                <w:sz w:val="20"/>
                <w:szCs w:val="20"/>
              </w:rPr>
              <w:t>22.9</w:t>
            </w:r>
          </w:p>
        </w:tc>
      </w:tr>
      <w:tr w:rsidR="00616610" w:rsidTr="00616610">
        <w:tc>
          <w:tcPr>
            <w:tcW w:w="1728" w:type="dxa"/>
          </w:tcPr>
          <w:p w:rsidR="00616610" w:rsidRPr="008B29F5" w:rsidRDefault="00616610" w:rsidP="00616610">
            <w:pPr>
              <w:jc w:val="center"/>
              <w:rPr>
                <w:sz w:val="20"/>
                <w:szCs w:val="20"/>
              </w:rPr>
            </w:pPr>
            <w:r w:rsidRPr="008B29F5">
              <w:rPr>
                <w:sz w:val="20"/>
                <w:szCs w:val="20"/>
              </w:rPr>
              <w:t>94</w:t>
            </w:r>
          </w:p>
        </w:tc>
        <w:tc>
          <w:tcPr>
            <w:tcW w:w="1620" w:type="dxa"/>
          </w:tcPr>
          <w:p w:rsidR="00616610" w:rsidRPr="008B29F5" w:rsidRDefault="00616610" w:rsidP="00616610">
            <w:pPr>
              <w:jc w:val="center"/>
              <w:rPr>
                <w:sz w:val="20"/>
                <w:szCs w:val="20"/>
              </w:rPr>
            </w:pPr>
            <w:r w:rsidRPr="008B29F5">
              <w:rPr>
                <w:sz w:val="20"/>
                <w:szCs w:val="20"/>
              </w:rPr>
              <w:t>-0.7</w:t>
            </w:r>
          </w:p>
        </w:tc>
        <w:tc>
          <w:tcPr>
            <w:tcW w:w="1350" w:type="dxa"/>
          </w:tcPr>
          <w:p w:rsidR="00616610" w:rsidRPr="008B29F5" w:rsidRDefault="00616610" w:rsidP="00D32DEF">
            <w:pPr>
              <w:jc w:val="center"/>
              <w:rPr>
                <w:sz w:val="20"/>
                <w:szCs w:val="20"/>
              </w:rPr>
            </w:pPr>
            <w:r w:rsidRPr="008B29F5">
              <w:rPr>
                <w:sz w:val="20"/>
                <w:szCs w:val="20"/>
              </w:rPr>
              <w:t>10.7</w:t>
            </w:r>
          </w:p>
        </w:tc>
      </w:tr>
      <w:tr w:rsidR="00616610" w:rsidTr="00616610">
        <w:tc>
          <w:tcPr>
            <w:tcW w:w="1728" w:type="dxa"/>
          </w:tcPr>
          <w:p w:rsidR="00616610" w:rsidRPr="008B29F5" w:rsidRDefault="00616610" w:rsidP="00616610">
            <w:pPr>
              <w:jc w:val="center"/>
              <w:rPr>
                <w:sz w:val="20"/>
                <w:szCs w:val="20"/>
              </w:rPr>
            </w:pPr>
            <w:r w:rsidRPr="008B29F5">
              <w:rPr>
                <w:sz w:val="20"/>
                <w:szCs w:val="20"/>
              </w:rPr>
              <w:t>97</w:t>
            </w:r>
          </w:p>
        </w:tc>
        <w:tc>
          <w:tcPr>
            <w:tcW w:w="1620" w:type="dxa"/>
          </w:tcPr>
          <w:p w:rsidR="00616610" w:rsidRPr="008B29F5" w:rsidRDefault="00616610" w:rsidP="00616610">
            <w:pPr>
              <w:jc w:val="center"/>
              <w:rPr>
                <w:sz w:val="20"/>
                <w:szCs w:val="20"/>
              </w:rPr>
            </w:pPr>
            <w:r w:rsidRPr="008B29F5">
              <w:rPr>
                <w:sz w:val="20"/>
                <w:szCs w:val="20"/>
              </w:rPr>
              <w:t>-1.6</w:t>
            </w:r>
          </w:p>
        </w:tc>
        <w:tc>
          <w:tcPr>
            <w:tcW w:w="1350" w:type="dxa"/>
          </w:tcPr>
          <w:p w:rsidR="00616610" w:rsidRPr="008B29F5" w:rsidRDefault="00616610" w:rsidP="00616610">
            <w:pPr>
              <w:jc w:val="center"/>
              <w:rPr>
                <w:sz w:val="20"/>
                <w:szCs w:val="20"/>
              </w:rPr>
            </w:pPr>
            <w:r w:rsidRPr="008B29F5">
              <w:rPr>
                <w:sz w:val="20"/>
                <w:szCs w:val="20"/>
              </w:rPr>
              <w:t>20.7</w:t>
            </w:r>
          </w:p>
        </w:tc>
      </w:tr>
    </w:tbl>
    <w:p w:rsidR="00344E51" w:rsidRDefault="00344E51" w:rsidP="007B01BD">
      <w:pPr>
        <w:spacing w:after="0" w:line="240" w:lineRule="auto"/>
        <w:rPr>
          <w:sz w:val="24"/>
          <w:szCs w:val="24"/>
        </w:rPr>
      </w:pPr>
    </w:p>
    <w:p w:rsidR="00616610" w:rsidRPr="00D548D1" w:rsidRDefault="00344E51"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 xml:space="preserve">Plot the </w:t>
      </w:r>
      <w:r w:rsidR="00D548D1" w:rsidRPr="00344E51">
        <w:rPr>
          <w:rFonts w:ascii="Symbol" w:hAnsi="Symbol"/>
          <w:sz w:val="28"/>
          <w:szCs w:val="28"/>
        </w:rPr>
        <w:t></w:t>
      </w:r>
      <w:proofErr w:type="spellStart"/>
      <w:r w:rsidRPr="00D548D1">
        <w:rPr>
          <w:rFonts w:ascii="Times New Roman" w:hAnsi="Times New Roman" w:cs="Times New Roman"/>
          <w:sz w:val="24"/>
          <w:szCs w:val="24"/>
          <w:vertAlign w:val="subscript"/>
        </w:rPr>
        <w:t>Nd</w:t>
      </w:r>
      <w:proofErr w:type="spellEnd"/>
      <w:r w:rsidRPr="00D548D1">
        <w:rPr>
          <w:rFonts w:ascii="Times New Roman" w:hAnsi="Times New Roman" w:cs="Times New Roman"/>
          <w:sz w:val="24"/>
          <w:szCs w:val="24"/>
        </w:rPr>
        <w:t xml:space="preserve"> </w:t>
      </w:r>
      <w:r w:rsidR="00944327" w:rsidRPr="00D548D1">
        <w:rPr>
          <w:rFonts w:ascii="Times New Roman" w:hAnsi="Times New Roman" w:cs="Times New Roman"/>
          <w:sz w:val="24"/>
          <w:szCs w:val="24"/>
        </w:rPr>
        <w:t xml:space="preserve">from table 2 on the left panel of figure 3 below. Also, compare the </w:t>
      </w:r>
      <w:r w:rsidR="00D548D1" w:rsidRPr="00344E51">
        <w:rPr>
          <w:rFonts w:ascii="Symbol" w:hAnsi="Symbol"/>
          <w:sz w:val="28"/>
          <w:szCs w:val="28"/>
        </w:rPr>
        <w:t></w:t>
      </w:r>
      <w:proofErr w:type="spellStart"/>
      <w:r w:rsidR="00944327" w:rsidRPr="00D548D1">
        <w:rPr>
          <w:rFonts w:ascii="Times New Roman" w:hAnsi="Times New Roman" w:cs="Times New Roman"/>
          <w:sz w:val="24"/>
          <w:szCs w:val="24"/>
          <w:vertAlign w:val="subscript"/>
        </w:rPr>
        <w:t>Nd</w:t>
      </w:r>
      <w:proofErr w:type="spellEnd"/>
      <w:r w:rsidR="00944327" w:rsidRPr="00D548D1">
        <w:rPr>
          <w:rFonts w:ascii="Times New Roman" w:hAnsi="Times New Roman" w:cs="Times New Roman"/>
          <w:sz w:val="24"/>
          <w:szCs w:val="24"/>
        </w:rPr>
        <w:t xml:space="preserve"> and </w:t>
      </w:r>
      <w:r w:rsidR="00D548D1" w:rsidRPr="00344E51">
        <w:rPr>
          <w:rFonts w:ascii="Symbol" w:hAnsi="Symbol"/>
          <w:sz w:val="28"/>
          <w:szCs w:val="28"/>
        </w:rPr>
        <w:t></w:t>
      </w:r>
      <w:proofErr w:type="spellStart"/>
      <w:r w:rsidR="00944327" w:rsidRPr="00D548D1">
        <w:rPr>
          <w:rFonts w:ascii="Times New Roman" w:hAnsi="Times New Roman" w:cs="Times New Roman"/>
          <w:sz w:val="24"/>
          <w:szCs w:val="24"/>
          <w:vertAlign w:val="subscript"/>
        </w:rPr>
        <w:t>Sr</w:t>
      </w:r>
      <w:proofErr w:type="spellEnd"/>
      <w:r w:rsidR="00944327" w:rsidRPr="00D548D1">
        <w:rPr>
          <w:rFonts w:ascii="Times New Roman" w:hAnsi="Times New Roman" w:cs="Times New Roman"/>
          <w:sz w:val="24"/>
          <w:szCs w:val="24"/>
        </w:rPr>
        <w:t xml:space="preserve"> values to the ranges expected from probable sources areas.</w:t>
      </w:r>
    </w:p>
    <w:p w:rsidR="00616610" w:rsidRDefault="00616610" w:rsidP="007B01BD">
      <w:pPr>
        <w:spacing w:after="0" w:line="240" w:lineRule="auto"/>
        <w:rPr>
          <w:sz w:val="24"/>
          <w:szCs w:val="24"/>
        </w:rPr>
      </w:pPr>
    </w:p>
    <w:p w:rsidR="00616610" w:rsidRDefault="00616610" w:rsidP="00944327">
      <w:pPr>
        <w:spacing w:after="0" w:line="240" w:lineRule="auto"/>
        <w:jc w:val="center"/>
        <w:rPr>
          <w:sz w:val="24"/>
          <w:szCs w:val="24"/>
        </w:rPr>
      </w:pPr>
      <w:r>
        <w:rPr>
          <w:noProof/>
          <w:sz w:val="24"/>
          <w:szCs w:val="24"/>
          <w:lang w:val="en-US"/>
        </w:rPr>
        <w:drawing>
          <wp:inline distT="0" distB="0" distL="0" distR="0">
            <wp:extent cx="4581525" cy="2097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G epsilon Nd.png"/>
                    <pic:cNvPicPr/>
                  </pic:nvPicPr>
                  <pic:blipFill>
                    <a:blip r:embed="rId9">
                      <a:extLst>
                        <a:ext uri="{28A0092B-C50C-407E-A947-70E740481C1C}">
                          <a14:useLocalDpi xmlns:a14="http://schemas.microsoft.com/office/drawing/2010/main" val="0"/>
                        </a:ext>
                      </a:extLst>
                    </a:blip>
                    <a:stretch>
                      <a:fillRect/>
                    </a:stretch>
                  </pic:blipFill>
                  <pic:spPr>
                    <a:xfrm>
                      <a:off x="0" y="0"/>
                      <a:ext cx="4589299" cy="2100929"/>
                    </a:xfrm>
                    <a:prstGeom prst="rect">
                      <a:avLst/>
                    </a:prstGeom>
                  </pic:spPr>
                </pic:pic>
              </a:graphicData>
            </a:graphic>
          </wp:inline>
        </w:drawing>
      </w:r>
    </w:p>
    <w:p w:rsidR="00344E51" w:rsidRPr="00D548D1" w:rsidRDefault="00944327" w:rsidP="007B01BD">
      <w:pPr>
        <w:spacing w:after="0" w:line="240" w:lineRule="auto"/>
        <w:rPr>
          <w:rFonts w:ascii="Times New Roman" w:hAnsi="Times New Roman" w:cs="Times New Roman"/>
          <w:sz w:val="24"/>
          <w:szCs w:val="24"/>
        </w:rPr>
      </w:pPr>
      <w:r w:rsidRPr="00D548D1">
        <w:rPr>
          <w:rFonts w:ascii="Times New Roman" w:hAnsi="Times New Roman" w:cs="Times New Roman"/>
          <w:b/>
          <w:sz w:val="20"/>
          <w:szCs w:val="20"/>
        </w:rPr>
        <w:t>Fig. 3</w:t>
      </w:r>
      <w:r w:rsidR="00344E51" w:rsidRPr="00D548D1">
        <w:rPr>
          <w:rFonts w:ascii="Times New Roman" w:hAnsi="Times New Roman" w:cs="Times New Roman"/>
          <w:b/>
          <w:sz w:val="20"/>
          <w:szCs w:val="20"/>
        </w:rPr>
        <w:t>.</w:t>
      </w:r>
      <w:r w:rsidR="00344E51" w:rsidRPr="00D548D1">
        <w:rPr>
          <w:rFonts w:ascii="Times New Roman" w:hAnsi="Times New Roman" w:cs="Times New Roman"/>
          <w:sz w:val="24"/>
          <w:szCs w:val="24"/>
        </w:rPr>
        <w:t xml:space="preserve"> </w:t>
      </w:r>
      <w:r w:rsidRPr="00D548D1">
        <w:rPr>
          <w:rFonts w:ascii="Times New Roman" w:hAnsi="Times New Roman" w:cs="Times New Roman"/>
          <w:sz w:val="20"/>
          <w:szCs w:val="20"/>
        </w:rPr>
        <w:t>(</w:t>
      </w:r>
      <w:proofErr w:type="gramStart"/>
      <w:r w:rsidRPr="00D548D1">
        <w:rPr>
          <w:rFonts w:ascii="Times New Roman" w:hAnsi="Times New Roman" w:cs="Times New Roman"/>
          <w:sz w:val="20"/>
          <w:szCs w:val="20"/>
        </w:rPr>
        <w:t>left</w:t>
      </w:r>
      <w:proofErr w:type="gramEnd"/>
      <w:r w:rsidRPr="00D548D1">
        <w:rPr>
          <w:rFonts w:ascii="Times New Roman" w:hAnsi="Times New Roman" w:cs="Times New Roman"/>
          <w:sz w:val="20"/>
          <w:szCs w:val="20"/>
        </w:rPr>
        <w:t xml:space="preserve">) Temporal variations in </w:t>
      </w:r>
      <w:r w:rsidRPr="009207EB">
        <w:rPr>
          <w:rFonts w:ascii="Symbol" w:hAnsi="Symbol" w:cs="Times New Roman"/>
        </w:rPr>
        <w:t></w:t>
      </w:r>
      <w:proofErr w:type="spellStart"/>
      <w:r w:rsidRPr="00D548D1">
        <w:rPr>
          <w:rFonts w:ascii="Times New Roman" w:hAnsi="Times New Roman" w:cs="Times New Roman"/>
          <w:sz w:val="20"/>
          <w:szCs w:val="20"/>
          <w:vertAlign w:val="subscript"/>
        </w:rPr>
        <w:t>Nd</w:t>
      </w:r>
      <w:proofErr w:type="spellEnd"/>
      <w:r w:rsidRPr="00D548D1">
        <w:rPr>
          <w:rFonts w:ascii="Times New Roman" w:hAnsi="Times New Roman" w:cs="Times New Roman"/>
          <w:sz w:val="20"/>
          <w:szCs w:val="20"/>
        </w:rPr>
        <w:t xml:space="preserve"> in the Great Valley succession. (</w:t>
      </w:r>
      <w:proofErr w:type="gramStart"/>
      <w:r w:rsidRPr="00D548D1">
        <w:rPr>
          <w:rFonts w:ascii="Times New Roman" w:hAnsi="Times New Roman" w:cs="Times New Roman"/>
          <w:sz w:val="20"/>
          <w:szCs w:val="20"/>
        </w:rPr>
        <w:t>right</w:t>
      </w:r>
      <w:proofErr w:type="gramEnd"/>
      <w:r w:rsidRPr="00D548D1">
        <w:rPr>
          <w:rFonts w:ascii="Times New Roman" w:hAnsi="Times New Roman" w:cs="Times New Roman"/>
          <w:sz w:val="20"/>
          <w:szCs w:val="20"/>
        </w:rPr>
        <w:t xml:space="preserve">) </w:t>
      </w:r>
      <w:proofErr w:type="spellStart"/>
      <w:r w:rsidRPr="00D548D1">
        <w:rPr>
          <w:rFonts w:ascii="Times New Roman" w:hAnsi="Times New Roman" w:cs="Times New Roman"/>
          <w:sz w:val="20"/>
          <w:szCs w:val="20"/>
        </w:rPr>
        <w:t>Nd</w:t>
      </w:r>
      <w:proofErr w:type="spellEnd"/>
      <w:r w:rsidRPr="00D548D1">
        <w:rPr>
          <w:rFonts w:ascii="Times New Roman" w:hAnsi="Times New Roman" w:cs="Times New Roman"/>
          <w:sz w:val="20"/>
          <w:szCs w:val="20"/>
        </w:rPr>
        <w:t xml:space="preserve"> and </w:t>
      </w:r>
      <w:proofErr w:type="spellStart"/>
      <w:r w:rsidRPr="00D548D1">
        <w:rPr>
          <w:rFonts w:ascii="Times New Roman" w:hAnsi="Times New Roman" w:cs="Times New Roman"/>
          <w:sz w:val="20"/>
          <w:szCs w:val="20"/>
        </w:rPr>
        <w:t>Sr</w:t>
      </w:r>
      <w:proofErr w:type="spellEnd"/>
      <w:r w:rsidRPr="00D548D1">
        <w:rPr>
          <w:rFonts w:ascii="Times New Roman" w:hAnsi="Times New Roman" w:cs="Times New Roman"/>
          <w:sz w:val="20"/>
          <w:szCs w:val="20"/>
        </w:rPr>
        <w:t xml:space="preserve"> isotope systematics of rocks in the source region.</w:t>
      </w:r>
    </w:p>
    <w:p w:rsidR="00616610" w:rsidRPr="00D548D1" w:rsidRDefault="00DA1C99" w:rsidP="00D548D1">
      <w:pPr>
        <w:pStyle w:val="ListParagraph"/>
        <w:numPr>
          <w:ilvl w:val="0"/>
          <w:numId w:val="1"/>
        </w:numPr>
        <w:spacing w:after="0" w:line="240" w:lineRule="auto"/>
        <w:rPr>
          <w:rFonts w:ascii="Times New Roman" w:hAnsi="Times New Roman" w:cs="Times New Roman"/>
          <w:sz w:val="24"/>
          <w:szCs w:val="24"/>
        </w:rPr>
      </w:pPr>
      <w:r w:rsidRPr="00D548D1">
        <w:rPr>
          <w:rFonts w:ascii="Times New Roman" w:hAnsi="Times New Roman" w:cs="Times New Roman"/>
          <w:sz w:val="24"/>
          <w:szCs w:val="24"/>
        </w:rPr>
        <w:lastRenderedPageBreak/>
        <w:t>What do the neodymium and strontium isotope values tell you about the source area over time?</w:t>
      </w:r>
    </w:p>
    <w:p w:rsidR="008B29F5" w:rsidRDefault="008B29F5" w:rsidP="007B01BD">
      <w:pPr>
        <w:spacing w:after="0" w:line="240" w:lineRule="auto"/>
        <w:rPr>
          <w:sz w:val="24"/>
          <w:szCs w:val="24"/>
        </w:rPr>
      </w:pPr>
    </w:p>
    <w:p w:rsidR="008B29F5" w:rsidRDefault="008B29F5" w:rsidP="007B01BD">
      <w:pPr>
        <w:spacing w:after="0" w:line="240" w:lineRule="auto"/>
        <w:rPr>
          <w:sz w:val="24"/>
          <w:szCs w:val="24"/>
        </w:rPr>
      </w:pPr>
    </w:p>
    <w:p w:rsidR="00616610" w:rsidRPr="00D548D1" w:rsidRDefault="005A390E" w:rsidP="007B01BD">
      <w:pPr>
        <w:spacing w:after="0" w:line="240" w:lineRule="auto"/>
        <w:rPr>
          <w:rFonts w:ascii="Times New Roman" w:hAnsi="Times New Roman" w:cs="Times New Roman"/>
          <w:sz w:val="24"/>
          <w:szCs w:val="24"/>
          <w:u w:val="single"/>
        </w:rPr>
      </w:pPr>
      <w:r w:rsidRPr="00D548D1">
        <w:rPr>
          <w:rFonts w:ascii="Times New Roman" w:hAnsi="Times New Roman" w:cs="Times New Roman"/>
          <w:sz w:val="24"/>
          <w:szCs w:val="24"/>
          <w:u w:val="single"/>
        </w:rPr>
        <w:t>Part 3: detrital zircon age tracers of provenance</w:t>
      </w:r>
    </w:p>
    <w:p w:rsidR="005A390E" w:rsidRPr="00D548D1" w:rsidRDefault="005A390E" w:rsidP="007B01BD">
      <w:pPr>
        <w:spacing w:after="0" w:line="240" w:lineRule="auto"/>
        <w:rPr>
          <w:rFonts w:ascii="Times New Roman" w:hAnsi="Times New Roman" w:cs="Times New Roman"/>
          <w:sz w:val="24"/>
          <w:szCs w:val="24"/>
        </w:rPr>
      </w:pPr>
    </w:p>
    <w:p w:rsidR="00DA1C99" w:rsidRPr="00D548D1" w:rsidRDefault="00DA1C99" w:rsidP="007B01BD">
      <w:p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Single-crystal analyses, such as U-</w:t>
      </w:r>
      <w:proofErr w:type="spellStart"/>
      <w:r w:rsidRPr="00D548D1">
        <w:rPr>
          <w:rFonts w:ascii="Times New Roman" w:hAnsi="Times New Roman" w:cs="Times New Roman"/>
          <w:sz w:val="24"/>
          <w:szCs w:val="24"/>
        </w:rPr>
        <w:t>Pb</w:t>
      </w:r>
      <w:proofErr w:type="spellEnd"/>
      <w:r w:rsidRPr="00D548D1">
        <w:rPr>
          <w:rFonts w:ascii="Times New Roman" w:hAnsi="Times New Roman" w:cs="Times New Roman"/>
          <w:sz w:val="24"/>
          <w:szCs w:val="24"/>
        </w:rPr>
        <w:t xml:space="preserve"> age dating of detrital zircons, </w:t>
      </w:r>
      <w:r w:rsidR="001B20CB" w:rsidRPr="00D548D1">
        <w:rPr>
          <w:rFonts w:ascii="Times New Roman" w:hAnsi="Times New Roman" w:cs="Times New Roman"/>
          <w:sz w:val="24"/>
          <w:szCs w:val="24"/>
        </w:rPr>
        <w:t xml:space="preserve">are a </w:t>
      </w:r>
      <w:r w:rsidR="00FF1CAA" w:rsidRPr="00D548D1">
        <w:rPr>
          <w:rFonts w:ascii="Times New Roman" w:hAnsi="Times New Roman" w:cs="Times New Roman"/>
          <w:sz w:val="24"/>
          <w:szCs w:val="24"/>
        </w:rPr>
        <w:t xml:space="preserve">sensitive tracer of provenance. In contrast to whole-rock methods like </w:t>
      </w:r>
      <w:proofErr w:type="spellStart"/>
      <w:r w:rsidR="00FF1CAA" w:rsidRPr="00D548D1">
        <w:rPr>
          <w:rFonts w:ascii="Times New Roman" w:hAnsi="Times New Roman" w:cs="Times New Roman"/>
          <w:sz w:val="24"/>
          <w:szCs w:val="24"/>
        </w:rPr>
        <w:t>Nd</w:t>
      </w:r>
      <w:proofErr w:type="spellEnd"/>
      <w:r w:rsidR="00FF1CAA" w:rsidRPr="00D548D1">
        <w:rPr>
          <w:rFonts w:ascii="Times New Roman" w:hAnsi="Times New Roman" w:cs="Times New Roman"/>
          <w:sz w:val="24"/>
          <w:szCs w:val="24"/>
        </w:rPr>
        <w:t xml:space="preserve"> or </w:t>
      </w:r>
      <w:proofErr w:type="spellStart"/>
      <w:r w:rsidR="00FF1CAA" w:rsidRPr="00D548D1">
        <w:rPr>
          <w:rFonts w:ascii="Times New Roman" w:hAnsi="Times New Roman" w:cs="Times New Roman"/>
          <w:sz w:val="24"/>
          <w:szCs w:val="24"/>
        </w:rPr>
        <w:t>Sr</w:t>
      </w:r>
      <w:proofErr w:type="spellEnd"/>
      <w:r w:rsidR="00FF1CAA" w:rsidRPr="00D548D1">
        <w:rPr>
          <w:rFonts w:ascii="Times New Roman" w:hAnsi="Times New Roman" w:cs="Times New Roman"/>
          <w:sz w:val="24"/>
          <w:szCs w:val="24"/>
        </w:rPr>
        <w:t xml:space="preserve"> isotopes, which integrate and mix grains potentially from multiple sources, single-crystal U-</w:t>
      </w:r>
      <w:proofErr w:type="spellStart"/>
      <w:r w:rsidR="00FF1CAA" w:rsidRPr="00D548D1">
        <w:rPr>
          <w:rFonts w:ascii="Times New Roman" w:hAnsi="Times New Roman" w:cs="Times New Roman"/>
          <w:sz w:val="24"/>
          <w:szCs w:val="24"/>
        </w:rPr>
        <w:t>Pb</w:t>
      </w:r>
      <w:proofErr w:type="spellEnd"/>
      <w:r w:rsidR="00FF1CAA" w:rsidRPr="00D548D1">
        <w:rPr>
          <w:rFonts w:ascii="Times New Roman" w:hAnsi="Times New Roman" w:cs="Times New Roman"/>
          <w:sz w:val="24"/>
          <w:szCs w:val="24"/>
        </w:rPr>
        <w:t xml:space="preserve"> dates give the precise age for that specific grain. Because of that, they give a detailed fingerprint of the age of the source area.</w:t>
      </w:r>
    </w:p>
    <w:p w:rsidR="005A390E" w:rsidRDefault="005A390E" w:rsidP="007B01BD">
      <w:pPr>
        <w:spacing w:after="0" w:line="240" w:lineRule="auto"/>
        <w:rPr>
          <w:sz w:val="24"/>
          <w:szCs w:val="24"/>
        </w:rPr>
      </w:pPr>
    </w:p>
    <w:p w:rsidR="005A390E" w:rsidRDefault="005A390E" w:rsidP="007B01BD">
      <w:pPr>
        <w:spacing w:after="0" w:line="240" w:lineRule="auto"/>
        <w:rPr>
          <w:sz w:val="24"/>
          <w:szCs w:val="24"/>
        </w:rPr>
      </w:pPr>
      <w:r>
        <w:rPr>
          <w:noProof/>
          <w:sz w:val="24"/>
          <w:szCs w:val="24"/>
          <w:lang w:val="en-US"/>
        </w:rPr>
        <w:drawing>
          <wp:inline distT="0" distB="0" distL="0" distR="0">
            <wp:extent cx="1881926" cy="17145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o sect det zir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209" cy="1718402"/>
                    </a:xfrm>
                    <a:prstGeom prst="rect">
                      <a:avLst/>
                    </a:prstGeom>
                  </pic:spPr>
                </pic:pic>
              </a:graphicData>
            </a:graphic>
          </wp:inline>
        </w:drawing>
      </w:r>
      <w:r w:rsidR="00CA59C1">
        <w:rPr>
          <w:noProof/>
          <w:sz w:val="24"/>
          <w:szCs w:val="24"/>
          <w:lang w:val="en-US"/>
        </w:rPr>
        <w:drawing>
          <wp:inline distT="0" distB="0" distL="0" distR="0" wp14:anchorId="7DEA77FD" wp14:editId="270A2590">
            <wp:extent cx="1997792" cy="33718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sect det zir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3131" cy="3397739"/>
                    </a:xfrm>
                    <a:prstGeom prst="rect">
                      <a:avLst/>
                    </a:prstGeom>
                  </pic:spPr>
                </pic:pic>
              </a:graphicData>
            </a:graphic>
          </wp:inline>
        </w:drawing>
      </w:r>
      <w:r w:rsidR="00C45931">
        <w:rPr>
          <w:noProof/>
          <w:sz w:val="24"/>
          <w:szCs w:val="24"/>
          <w:lang w:val="en-US"/>
        </w:rPr>
        <w:drawing>
          <wp:inline distT="0" distB="0" distL="0" distR="0" wp14:anchorId="202BF97B" wp14:editId="520EA35F">
            <wp:extent cx="1835414" cy="2695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 sect det zir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229" cy="2699709"/>
                    </a:xfrm>
                    <a:prstGeom prst="rect">
                      <a:avLst/>
                    </a:prstGeom>
                  </pic:spPr>
                </pic:pic>
              </a:graphicData>
            </a:graphic>
          </wp:inline>
        </w:drawing>
      </w:r>
    </w:p>
    <w:p w:rsidR="005A390E" w:rsidRPr="00D548D1" w:rsidRDefault="001B20CB" w:rsidP="007B01BD">
      <w:pPr>
        <w:spacing w:after="0" w:line="240" w:lineRule="auto"/>
        <w:rPr>
          <w:rFonts w:ascii="Times New Roman" w:hAnsi="Times New Roman" w:cs="Times New Roman"/>
          <w:sz w:val="20"/>
          <w:szCs w:val="20"/>
        </w:rPr>
      </w:pPr>
      <w:r w:rsidRPr="00D548D1">
        <w:rPr>
          <w:rFonts w:ascii="Times New Roman" w:hAnsi="Times New Roman" w:cs="Times New Roman"/>
          <w:b/>
          <w:sz w:val="20"/>
          <w:szCs w:val="20"/>
        </w:rPr>
        <w:t>Fig. 4.</w:t>
      </w:r>
      <w:r w:rsidRPr="00D548D1">
        <w:rPr>
          <w:rFonts w:ascii="Times New Roman" w:hAnsi="Times New Roman" w:cs="Times New Roman"/>
          <w:sz w:val="20"/>
          <w:szCs w:val="20"/>
        </w:rPr>
        <w:t xml:space="preserve"> Detrital zircon age spectra for samples from the Chico (box C on fig. 1), Cache Creek (box CC) and San Joaquin (box SJ) sections. The histogram bars show the abundance of crystals of a given age, between 80 and 200 Ma. The </w:t>
      </w:r>
      <w:proofErr w:type="spellStart"/>
      <w:r w:rsidRPr="00D548D1">
        <w:rPr>
          <w:rFonts w:ascii="Times New Roman" w:hAnsi="Times New Roman" w:cs="Times New Roman"/>
          <w:sz w:val="20"/>
          <w:szCs w:val="20"/>
        </w:rPr>
        <w:t>gray</w:t>
      </w:r>
      <w:proofErr w:type="spellEnd"/>
      <w:r w:rsidRPr="00D548D1">
        <w:rPr>
          <w:rFonts w:ascii="Times New Roman" w:hAnsi="Times New Roman" w:cs="Times New Roman"/>
          <w:sz w:val="20"/>
          <w:szCs w:val="20"/>
        </w:rPr>
        <w:t xml:space="preserve"> line and shaded box indicate the depositional age of each sample.</w:t>
      </w:r>
    </w:p>
    <w:p w:rsidR="005A390E" w:rsidRPr="00D548D1" w:rsidRDefault="005A390E" w:rsidP="007B01BD">
      <w:pPr>
        <w:spacing w:after="0" w:line="240" w:lineRule="auto"/>
        <w:rPr>
          <w:rFonts w:ascii="Times New Roman" w:hAnsi="Times New Roman" w:cs="Times New Roman"/>
          <w:sz w:val="24"/>
          <w:szCs w:val="24"/>
        </w:rPr>
      </w:pPr>
    </w:p>
    <w:p w:rsidR="00F668F6" w:rsidRPr="00D548D1" w:rsidRDefault="00F668F6" w:rsidP="007B01BD">
      <w:pPr>
        <w:spacing w:after="0" w:line="240" w:lineRule="auto"/>
        <w:rPr>
          <w:rFonts w:ascii="Times New Roman" w:hAnsi="Times New Roman" w:cs="Times New Roman"/>
          <w:sz w:val="24"/>
          <w:szCs w:val="24"/>
        </w:rPr>
      </w:pPr>
    </w:p>
    <w:p w:rsidR="00F668F6" w:rsidRDefault="00F668F6" w:rsidP="00D548D1">
      <w:pPr>
        <w:pStyle w:val="ListParagraph"/>
        <w:numPr>
          <w:ilvl w:val="0"/>
          <w:numId w:val="1"/>
        </w:numPr>
        <w:spacing w:after="0" w:line="240" w:lineRule="auto"/>
        <w:rPr>
          <w:rFonts w:ascii="Times New Roman" w:hAnsi="Times New Roman" w:cs="Times New Roman"/>
          <w:sz w:val="24"/>
          <w:szCs w:val="24"/>
        </w:rPr>
      </w:pPr>
      <w:r w:rsidRPr="00D548D1">
        <w:rPr>
          <w:rFonts w:ascii="Times New Roman" w:hAnsi="Times New Roman" w:cs="Times New Roman"/>
          <w:sz w:val="24"/>
          <w:szCs w:val="24"/>
        </w:rPr>
        <w:t xml:space="preserve">Examine the detrital zircon age spectra in figure 4. How does the relative contribution of different source areas (especially the 140-170 Ma plutons in the Western Sierra </w:t>
      </w:r>
      <w:proofErr w:type="spellStart"/>
      <w:r w:rsidRPr="00D548D1">
        <w:rPr>
          <w:rFonts w:ascii="Times New Roman" w:hAnsi="Times New Roman" w:cs="Times New Roman"/>
          <w:sz w:val="24"/>
          <w:szCs w:val="24"/>
        </w:rPr>
        <w:t>terrane</w:t>
      </w:r>
      <w:proofErr w:type="spellEnd"/>
      <w:r w:rsidRPr="00D548D1">
        <w:rPr>
          <w:rFonts w:ascii="Times New Roman" w:hAnsi="Times New Roman" w:cs="Times New Roman"/>
          <w:sz w:val="24"/>
          <w:szCs w:val="24"/>
        </w:rPr>
        <w:t xml:space="preserve"> and the 125-86 ma plutons in the Sierra Nevada batholith) change over time and geographically</w:t>
      </w:r>
      <w:r w:rsidR="00202519">
        <w:rPr>
          <w:rFonts w:ascii="Times New Roman" w:hAnsi="Times New Roman" w:cs="Times New Roman"/>
          <w:sz w:val="24"/>
          <w:szCs w:val="24"/>
        </w:rPr>
        <w:t xml:space="preserve"> (in the three different areas)</w:t>
      </w:r>
      <w:bookmarkStart w:id="0" w:name="_GoBack"/>
      <w:bookmarkEnd w:id="0"/>
      <w:r w:rsidRPr="00D548D1">
        <w:rPr>
          <w:rFonts w:ascii="Times New Roman" w:hAnsi="Times New Roman" w:cs="Times New Roman"/>
          <w:sz w:val="24"/>
          <w:szCs w:val="24"/>
        </w:rPr>
        <w:t>?</w:t>
      </w:r>
    </w:p>
    <w:p w:rsidR="001901DB" w:rsidRDefault="001901DB" w:rsidP="007B01BD">
      <w:pPr>
        <w:spacing w:after="0" w:line="240" w:lineRule="auto"/>
        <w:rPr>
          <w:sz w:val="24"/>
          <w:szCs w:val="24"/>
        </w:rPr>
      </w:pPr>
    </w:p>
    <w:sectPr w:rsidR="001901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A3BE5"/>
    <w:multiLevelType w:val="hybridMultilevel"/>
    <w:tmpl w:val="DD78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BD"/>
    <w:rsid w:val="00130B39"/>
    <w:rsid w:val="001901DB"/>
    <w:rsid w:val="00191AD4"/>
    <w:rsid w:val="001B20CB"/>
    <w:rsid w:val="00202519"/>
    <w:rsid w:val="00344E51"/>
    <w:rsid w:val="003F6895"/>
    <w:rsid w:val="00416F8F"/>
    <w:rsid w:val="005A390E"/>
    <w:rsid w:val="00611724"/>
    <w:rsid w:val="00616610"/>
    <w:rsid w:val="006705C8"/>
    <w:rsid w:val="007B01BD"/>
    <w:rsid w:val="007E6581"/>
    <w:rsid w:val="00802119"/>
    <w:rsid w:val="00827A98"/>
    <w:rsid w:val="008B29F5"/>
    <w:rsid w:val="008F691D"/>
    <w:rsid w:val="009207EB"/>
    <w:rsid w:val="00944327"/>
    <w:rsid w:val="009D2E5F"/>
    <w:rsid w:val="00A946AB"/>
    <w:rsid w:val="00B55C91"/>
    <w:rsid w:val="00BD57C4"/>
    <w:rsid w:val="00C45931"/>
    <w:rsid w:val="00CA59C1"/>
    <w:rsid w:val="00CD14BA"/>
    <w:rsid w:val="00D548D1"/>
    <w:rsid w:val="00DA1C99"/>
    <w:rsid w:val="00E940E5"/>
    <w:rsid w:val="00EB15F1"/>
    <w:rsid w:val="00F668F6"/>
    <w:rsid w:val="00FB11A6"/>
    <w:rsid w:val="00FF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359AD-630B-48F3-B70E-C17E9FF5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BD"/>
    <w:rPr>
      <w:rFonts w:ascii="Tahoma" w:hAnsi="Tahoma" w:cs="Tahoma"/>
      <w:sz w:val="16"/>
      <w:szCs w:val="16"/>
    </w:rPr>
  </w:style>
  <w:style w:type="table" w:styleId="TableGrid">
    <w:name w:val="Table Grid"/>
    <w:basedOn w:val="TableNormal"/>
    <w:uiPriority w:val="59"/>
    <w:rsid w:val="00EB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mclapham</dc:creator>
  <cp:lastModifiedBy>Matthew Clapham</cp:lastModifiedBy>
  <cp:revision>26</cp:revision>
  <cp:lastPrinted>2015-04-13T16:24:00Z</cp:lastPrinted>
  <dcterms:created xsi:type="dcterms:W3CDTF">2013-04-23T21:12:00Z</dcterms:created>
  <dcterms:modified xsi:type="dcterms:W3CDTF">2015-04-15T22:11:00Z</dcterms:modified>
</cp:coreProperties>
</file>