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8EF7A" w14:textId="77777777" w:rsidR="00597679" w:rsidRPr="00B652E3" w:rsidRDefault="00597679" w:rsidP="00597679">
      <w:pPr>
        <w:pStyle w:val="bibbles"/>
        <w:spacing w:before="0" w:after="0"/>
        <w:ind w:right="187"/>
        <w:jc w:val="center"/>
        <w:rPr>
          <w:b/>
        </w:rPr>
      </w:pPr>
      <w:r>
        <w:rPr>
          <w:b/>
        </w:rPr>
        <w:t xml:space="preserve">On the </w:t>
      </w:r>
      <w:r w:rsidRPr="00B652E3">
        <w:rPr>
          <w:b/>
        </w:rPr>
        <w:t>Contrar</w:t>
      </w:r>
      <w:r>
        <w:rPr>
          <w:b/>
        </w:rPr>
        <w:t>y</w:t>
      </w:r>
      <w:r w:rsidRPr="00B652E3">
        <w:rPr>
          <w:b/>
        </w:rPr>
        <w:t>:</w:t>
      </w:r>
    </w:p>
    <w:p w14:paraId="04781C93" w14:textId="77777777" w:rsidR="00597679" w:rsidRPr="00B652E3" w:rsidRDefault="00597679" w:rsidP="00597679">
      <w:pPr>
        <w:pStyle w:val="bibbles"/>
        <w:spacing w:before="0" w:after="0"/>
        <w:ind w:right="187"/>
        <w:jc w:val="center"/>
        <w:rPr>
          <w:b/>
        </w:rPr>
      </w:pPr>
      <w:r w:rsidRPr="00B652E3">
        <w:rPr>
          <w:b/>
        </w:rPr>
        <w:t>Pragmatic Strengthening</w:t>
      </w:r>
      <w:r>
        <w:rPr>
          <w:b/>
        </w:rPr>
        <w:t xml:space="preserve"> </w:t>
      </w:r>
      <w:r w:rsidRPr="00B652E3">
        <w:rPr>
          <w:b/>
        </w:rPr>
        <w:t>and</w:t>
      </w:r>
      <w:r w:rsidRPr="00597679">
        <w:rPr>
          <w:b/>
        </w:rPr>
        <w:t xml:space="preserve"> </w:t>
      </w:r>
      <w:r w:rsidRPr="00B652E3">
        <w:rPr>
          <w:b/>
        </w:rPr>
        <w:t xml:space="preserve">Disjunctive Syllogism </w:t>
      </w:r>
    </w:p>
    <w:p w14:paraId="0EECF39F" w14:textId="77777777" w:rsidR="00597679" w:rsidRPr="009D0063" w:rsidRDefault="00597679" w:rsidP="00597679">
      <w:pPr>
        <w:pStyle w:val="bibbles"/>
        <w:rPr>
          <w:sz w:val="10"/>
        </w:rPr>
      </w:pPr>
    </w:p>
    <w:p w14:paraId="334AC16D" w14:textId="33379016" w:rsidR="00597679" w:rsidRPr="006B2EA9" w:rsidRDefault="00AD784B" w:rsidP="006B2EA9">
      <w:pPr>
        <w:spacing w:after="80"/>
        <w:jc w:val="both"/>
        <w:rPr>
          <w:rFonts w:ascii="Times" w:hAnsi="Times"/>
          <w:sz w:val="24"/>
        </w:rPr>
      </w:pPr>
      <w:r w:rsidRPr="006B2EA9">
        <w:rPr>
          <w:rFonts w:ascii="Times" w:hAnsi="Times"/>
          <w:sz w:val="24"/>
        </w:rPr>
        <w:t>The</w:t>
      </w:r>
      <w:r w:rsidR="00597679" w:rsidRPr="006B2EA9">
        <w:rPr>
          <w:rFonts w:ascii="Times" w:hAnsi="Times"/>
          <w:sz w:val="24"/>
        </w:rPr>
        <w:t xml:space="preserve"> dictum that “The essence of formal negation is to invest the contrary with the character of the contradictory” (</w:t>
      </w:r>
      <w:proofErr w:type="spellStart"/>
      <w:r w:rsidR="00597679" w:rsidRPr="006B2EA9">
        <w:rPr>
          <w:rFonts w:ascii="Times" w:hAnsi="Times"/>
          <w:sz w:val="24"/>
        </w:rPr>
        <w:t>Bosanquet</w:t>
      </w:r>
      <w:proofErr w:type="spellEnd"/>
      <w:r w:rsidR="00597679" w:rsidRPr="006B2EA9">
        <w:rPr>
          <w:rFonts w:ascii="Times" w:hAnsi="Times"/>
          <w:sz w:val="24"/>
        </w:rPr>
        <w:t xml:space="preserve"> 1888</w:t>
      </w:r>
      <w:r w:rsidRPr="006B2EA9">
        <w:rPr>
          <w:rFonts w:ascii="Times" w:hAnsi="Times"/>
          <w:sz w:val="24"/>
        </w:rPr>
        <w:t xml:space="preserve">) </w:t>
      </w:r>
      <w:r w:rsidR="003F3F9F">
        <w:rPr>
          <w:rFonts w:ascii="Times" w:hAnsi="Times"/>
          <w:sz w:val="24"/>
        </w:rPr>
        <w:t>describ</w:t>
      </w:r>
      <w:r w:rsidRPr="006B2EA9">
        <w:rPr>
          <w:rFonts w:ascii="Times" w:hAnsi="Times"/>
          <w:sz w:val="24"/>
        </w:rPr>
        <w:t xml:space="preserve">es the tendency for contradictory (apparent wide-scope) negation to be semantically or pragmatically strengthened to contrary readings whenever possible. </w:t>
      </w:r>
      <w:r w:rsidR="006B2EA9" w:rsidRPr="006B2EA9">
        <w:rPr>
          <w:rFonts w:ascii="Times" w:hAnsi="Times"/>
          <w:sz w:val="24"/>
        </w:rPr>
        <w:t>This tendency is illustrated by</w:t>
      </w:r>
      <w:r w:rsidRPr="006B2EA9">
        <w:rPr>
          <w:rFonts w:ascii="Times" w:hAnsi="Times"/>
          <w:sz w:val="24"/>
        </w:rPr>
        <w:t xml:space="preserve"> lexicalization </w:t>
      </w:r>
      <w:r w:rsidR="001A1889" w:rsidRPr="006B2EA9">
        <w:rPr>
          <w:rFonts w:ascii="Times" w:hAnsi="Times"/>
          <w:sz w:val="24"/>
        </w:rPr>
        <w:t xml:space="preserve">asymmetries </w:t>
      </w:r>
      <w:r w:rsidR="006B2EA9" w:rsidRPr="006B2EA9">
        <w:rPr>
          <w:rFonts w:ascii="Times" w:hAnsi="Times"/>
          <w:sz w:val="24"/>
        </w:rPr>
        <w:t xml:space="preserve">(e.g. </w:t>
      </w:r>
      <w:r w:rsidRPr="006B2EA9">
        <w:rPr>
          <w:rFonts w:ascii="Times" w:hAnsi="Times"/>
          <w:i/>
          <w:sz w:val="24"/>
        </w:rPr>
        <w:t>none</w:t>
      </w:r>
      <w:r w:rsidRPr="006B2EA9">
        <w:rPr>
          <w:rFonts w:ascii="Times" w:hAnsi="Times"/>
          <w:sz w:val="24"/>
        </w:rPr>
        <w:t xml:space="preserve"> </w:t>
      </w:r>
      <w:r w:rsidR="0088408D">
        <w:rPr>
          <w:rFonts w:ascii="Times" w:hAnsi="Times"/>
          <w:sz w:val="24"/>
        </w:rPr>
        <w:t xml:space="preserve">‘all not’ </w:t>
      </w:r>
      <w:r w:rsidRPr="006B2EA9">
        <w:rPr>
          <w:rFonts w:ascii="Times" w:hAnsi="Times"/>
          <w:sz w:val="24"/>
        </w:rPr>
        <w:t xml:space="preserve">vs. </w:t>
      </w:r>
      <w:r w:rsidRPr="006B2EA9">
        <w:rPr>
          <w:rFonts w:ascii="Times" w:hAnsi="Times"/>
          <w:i/>
          <w:sz w:val="24"/>
        </w:rPr>
        <w:t>*</w:t>
      </w:r>
      <w:proofErr w:type="spellStart"/>
      <w:r w:rsidRPr="006B2EA9">
        <w:rPr>
          <w:rFonts w:ascii="Times" w:hAnsi="Times"/>
          <w:i/>
          <w:sz w:val="24"/>
        </w:rPr>
        <w:t>nall</w:t>
      </w:r>
      <w:proofErr w:type="spellEnd"/>
      <w:r w:rsidRPr="006B2EA9">
        <w:rPr>
          <w:rFonts w:ascii="Times" w:hAnsi="Times"/>
          <w:i/>
          <w:sz w:val="24"/>
        </w:rPr>
        <w:t xml:space="preserve"> </w:t>
      </w:r>
      <w:r w:rsidR="006B2EA9" w:rsidRPr="006B2EA9">
        <w:rPr>
          <w:rFonts w:ascii="Times" w:hAnsi="Times"/>
          <w:sz w:val="24"/>
        </w:rPr>
        <w:t xml:space="preserve">‘not all’) and the </w:t>
      </w:r>
      <w:r w:rsidR="0088408D">
        <w:rPr>
          <w:rFonts w:ascii="Times" w:hAnsi="Times"/>
          <w:sz w:val="24"/>
        </w:rPr>
        <w:t xml:space="preserve">widespread </w:t>
      </w:r>
      <w:r w:rsidR="006B2EA9" w:rsidRPr="006B2EA9">
        <w:rPr>
          <w:rFonts w:ascii="Times" w:hAnsi="Times"/>
          <w:sz w:val="24"/>
        </w:rPr>
        <w:t xml:space="preserve">diachronic </w:t>
      </w:r>
      <w:proofErr w:type="spellStart"/>
      <w:r w:rsidR="0088408D">
        <w:rPr>
          <w:rFonts w:ascii="Times" w:hAnsi="Times"/>
          <w:sz w:val="24"/>
        </w:rPr>
        <w:t>reanalyses</w:t>
      </w:r>
      <w:proofErr w:type="spellEnd"/>
      <w:r w:rsidR="006B2EA9" w:rsidRPr="006B2EA9">
        <w:rPr>
          <w:rFonts w:ascii="Times" w:hAnsi="Times"/>
          <w:sz w:val="24"/>
        </w:rPr>
        <w:t xml:space="preserve"> of</w:t>
      </w:r>
      <w:r w:rsidR="00597679" w:rsidRPr="006B2EA9">
        <w:rPr>
          <w:rFonts w:ascii="Times" w:hAnsi="Times"/>
          <w:sz w:val="24"/>
        </w:rPr>
        <w:t xml:space="preserve"> </w:t>
      </w:r>
      <w:r w:rsidR="0088408D">
        <w:rPr>
          <w:rFonts w:ascii="Times" w:hAnsi="Times"/>
          <w:sz w:val="24"/>
        </w:rPr>
        <w:t xml:space="preserve">weaker negatives </w:t>
      </w:r>
      <w:r w:rsidR="00597679" w:rsidRPr="006B2EA9">
        <w:rPr>
          <w:rFonts w:ascii="Times" w:hAnsi="Times"/>
          <w:sz w:val="24"/>
        </w:rPr>
        <w:t xml:space="preserve">to </w:t>
      </w:r>
      <w:r w:rsidR="006B2EA9" w:rsidRPr="006B2EA9">
        <w:rPr>
          <w:rFonts w:ascii="Times" w:hAnsi="Times"/>
          <w:sz w:val="24"/>
        </w:rPr>
        <w:t>contraries (</w:t>
      </w:r>
      <w:proofErr w:type="spellStart"/>
      <w:r w:rsidR="006B2EA9" w:rsidRPr="006B2EA9">
        <w:rPr>
          <w:rFonts w:ascii="Times" w:hAnsi="Times"/>
          <w:sz w:val="24"/>
        </w:rPr>
        <w:t>e.g</w:t>
      </w:r>
      <w:proofErr w:type="spellEnd"/>
      <w:r w:rsidR="00597679" w:rsidRPr="006B2EA9">
        <w:rPr>
          <w:rFonts w:ascii="Times" w:hAnsi="Times"/>
          <w:sz w:val="24"/>
        </w:rPr>
        <w:t xml:space="preserve"> </w:t>
      </w:r>
      <w:r w:rsidR="00597679" w:rsidRPr="006B2EA9">
        <w:rPr>
          <w:rFonts w:ascii="Times" w:hAnsi="Times"/>
          <w:i/>
          <w:sz w:val="24"/>
        </w:rPr>
        <w:t xml:space="preserve">Il ne </w:t>
      </w:r>
      <w:proofErr w:type="spellStart"/>
      <w:r w:rsidR="00597679" w:rsidRPr="006B2EA9">
        <w:rPr>
          <w:rFonts w:ascii="Times" w:hAnsi="Times"/>
          <w:i/>
          <w:sz w:val="24"/>
        </w:rPr>
        <w:t>faut</w:t>
      </w:r>
      <w:proofErr w:type="spellEnd"/>
      <w:r w:rsidR="00597679" w:rsidRPr="006B2EA9">
        <w:rPr>
          <w:rFonts w:ascii="Times" w:hAnsi="Times"/>
          <w:i/>
          <w:sz w:val="24"/>
        </w:rPr>
        <w:t xml:space="preserve"> pas </w:t>
      </w:r>
      <w:proofErr w:type="spellStart"/>
      <w:r w:rsidR="00597679" w:rsidRPr="006B2EA9">
        <w:rPr>
          <w:rFonts w:ascii="Times" w:hAnsi="Times"/>
          <w:i/>
          <w:sz w:val="24"/>
        </w:rPr>
        <w:t>partir</w:t>
      </w:r>
      <w:proofErr w:type="spellEnd"/>
      <w:r w:rsidR="00597679" w:rsidRPr="006B2EA9">
        <w:rPr>
          <w:rFonts w:ascii="Times" w:hAnsi="Times"/>
          <w:i/>
          <w:sz w:val="24"/>
        </w:rPr>
        <w:t></w:t>
      </w:r>
      <w:r w:rsidR="00597679" w:rsidRPr="006B2EA9">
        <w:rPr>
          <w:rFonts w:ascii="Times" w:hAnsi="Times"/>
          <w:sz w:val="24"/>
        </w:rPr>
        <w:t>—literally = ‘</w:t>
      </w:r>
      <w:r w:rsidR="006B2EA9">
        <w:rPr>
          <w:rFonts w:ascii="Times" w:hAnsi="Times"/>
          <w:sz w:val="24"/>
        </w:rPr>
        <w:t>one need not</w:t>
      </w:r>
      <w:r w:rsidR="00597679" w:rsidRPr="006B2EA9">
        <w:rPr>
          <w:rFonts w:ascii="Times" w:hAnsi="Times"/>
          <w:sz w:val="24"/>
        </w:rPr>
        <w:t xml:space="preserve"> leave’</w:t>
      </w:r>
      <w:r w:rsidR="006B2EA9">
        <w:rPr>
          <w:rFonts w:ascii="Times" w:hAnsi="Times"/>
          <w:sz w:val="24"/>
        </w:rPr>
        <w:t xml:space="preserve"> &gt;</w:t>
      </w:r>
      <w:r w:rsidR="00597679" w:rsidRPr="006B2EA9">
        <w:rPr>
          <w:rFonts w:ascii="Times" w:hAnsi="Times"/>
          <w:sz w:val="24"/>
        </w:rPr>
        <w:t xml:space="preserve"> </w:t>
      </w:r>
      <w:r w:rsidR="006B2EA9">
        <w:rPr>
          <w:rFonts w:ascii="Times" w:hAnsi="Times"/>
          <w:sz w:val="24"/>
        </w:rPr>
        <w:t>‘</w:t>
      </w:r>
      <w:r w:rsidR="00597679" w:rsidRPr="006B2EA9">
        <w:rPr>
          <w:rFonts w:ascii="Times" w:hAnsi="Times"/>
          <w:sz w:val="24"/>
        </w:rPr>
        <w:t>one must not-leave</w:t>
      </w:r>
      <w:r w:rsidR="006B2EA9">
        <w:rPr>
          <w:rFonts w:ascii="Times" w:hAnsi="Times"/>
          <w:sz w:val="24"/>
        </w:rPr>
        <w:t>’</w:t>
      </w:r>
      <w:r w:rsidR="0047713E">
        <w:rPr>
          <w:rFonts w:ascii="Times" w:hAnsi="Times"/>
          <w:sz w:val="24"/>
        </w:rPr>
        <w:t>)</w:t>
      </w:r>
      <w:r w:rsidR="00597679" w:rsidRPr="006B2EA9">
        <w:rPr>
          <w:rFonts w:ascii="Times" w:hAnsi="Times"/>
          <w:sz w:val="24"/>
        </w:rPr>
        <w:t xml:space="preserve">.  </w:t>
      </w:r>
    </w:p>
    <w:p w14:paraId="55EB41F2" w14:textId="41761E26" w:rsidR="008E3413" w:rsidRDefault="003F3F9F" w:rsidP="008E3413">
      <w:pPr>
        <w:pStyle w:val="example"/>
        <w:ind w:right="-270"/>
      </w:pPr>
      <w:r>
        <w:t>Outside</w:t>
      </w:r>
      <w:r w:rsidR="008E3413">
        <w:t xml:space="preserve"> the lexical domain, contrary strengthening </w:t>
      </w:r>
      <w:r w:rsidR="00A81ABC">
        <w:t xml:space="preserve">typically instantiates the inference schema of </w:t>
      </w:r>
      <w:r w:rsidR="008E3413">
        <w:t>disjunctive syllogism</w:t>
      </w:r>
      <w:r w:rsidR="00A81ABC">
        <w:t xml:space="preserve"> (modus </w:t>
      </w:r>
      <w:proofErr w:type="spellStart"/>
      <w:r w:rsidR="00A81ABC">
        <w:t>tollendo</w:t>
      </w:r>
      <w:proofErr w:type="spellEnd"/>
      <w:r w:rsidR="00A81ABC">
        <w:t xml:space="preserve"> ponens)</w:t>
      </w:r>
      <w:r w:rsidR="008E3413">
        <w:t>:</w:t>
      </w:r>
      <w:r w:rsidR="00E50C32">
        <w:t xml:space="preserve"> </w:t>
      </w:r>
    </w:p>
    <w:p w14:paraId="3D4DC877" w14:textId="77777777" w:rsidR="008E3413" w:rsidRDefault="008E3413" w:rsidP="00597679">
      <w:pPr>
        <w:pStyle w:val="examp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597679" w:rsidRPr="009D0063">
        <w:rPr>
          <w:rFonts w:ascii="Times New Roman" w:hAnsi="Times New Roman"/>
          <w:b/>
        </w:rPr>
        <w:sym w:font="Symbol" w:char="F066"/>
      </w:r>
      <w:r w:rsidR="00597679" w:rsidRPr="009D0063">
        <w:rPr>
          <w:rFonts w:ascii="Times New Roman" w:hAnsi="Times New Roman"/>
          <w:b/>
        </w:rPr>
        <w:t xml:space="preserve"> </w:t>
      </w:r>
      <w:proofErr w:type="gramStart"/>
      <w:r w:rsidR="00597679" w:rsidRPr="009D0063">
        <w:rPr>
          <w:b/>
          <w:szCs w:val="28"/>
        </w:rPr>
        <w:t>v</w:t>
      </w:r>
      <w:proofErr w:type="gramEnd"/>
      <w:r w:rsidR="00597679" w:rsidRPr="009D0063">
        <w:rPr>
          <w:b/>
          <w:szCs w:val="28"/>
        </w:rPr>
        <w:t xml:space="preserve"> </w:t>
      </w:r>
      <w:r w:rsidR="00597679" w:rsidRPr="009D0063">
        <w:rPr>
          <w:rFonts w:ascii="Times New Roman" w:hAnsi="Times New Roman"/>
          <w:b/>
        </w:rPr>
        <w:sym w:font="Symbol" w:char="F06A"/>
      </w:r>
    </w:p>
    <w:p w14:paraId="6C10581E" w14:textId="77777777" w:rsidR="008E3413" w:rsidRPr="008E3413" w:rsidRDefault="008E3413" w:rsidP="00597679">
      <w:pPr>
        <w:pStyle w:val="exampl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 w:rsidR="00E50C32" w:rsidRPr="008E3413">
        <w:rPr>
          <w:rFonts w:ascii="Times New Roman" w:hAnsi="Times New Roman"/>
          <w:b/>
          <w:u w:val="single"/>
        </w:rPr>
        <w:t xml:space="preserve">¬ </w:t>
      </w:r>
      <w:r w:rsidR="00E50C32" w:rsidRPr="008E3413">
        <w:rPr>
          <w:rFonts w:ascii="Times New Roman" w:hAnsi="Times New Roman"/>
          <w:b/>
          <w:u w:val="single"/>
        </w:rPr>
        <w:sym w:font="Symbol" w:char="F066"/>
      </w:r>
      <w:r w:rsidR="00E50C32" w:rsidRPr="008E3413">
        <w:rPr>
          <w:rFonts w:ascii="Times New Roman" w:hAnsi="Times New Roman"/>
          <w:b/>
          <w:u w:val="single"/>
        </w:rPr>
        <w:t xml:space="preserve"> </w:t>
      </w:r>
    </w:p>
    <w:p w14:paraId="4A115D66" w14:textId="77777777" w:rsidR="008E3413" w:rsidRDefault="008E3413" w:rsidP="00597679">
      <w:pPr>
        <w:pStyle w:val="example"/>
      </w:pPr>
      <w:r>
        <w:rPr>
          <w:rFonts w:ascii="Times New Roman" w:hAnsi="Times New Roman"/>
          <w:b/>
        </w:rPr>
        <w:tab/>
      </w:r>
      <w:r w:rsidR="00E50C32" w:rsidRPr="009D0063">
        <w:rPr>
          <w:rFonts w:ascii="Times New Roman" w:hAnsi="Times New Roman"/>
          <w:b/>
        </w:rPr>
        <w:sym w:font="Symbol" w:char="F05C"/>
      </w:r>
      <w:r w:rsidR="00E50C32" w:rsidRPr="009D0063">
        <w:rPr>
          <w:rFonts w:ascii="Times New Roman" w:hAnsi="Times New Roman"/>
          <w:b/>
        </w:rPr>
        <w:sym w:font="Symbol" w:char="F06A"/>
      </w:r>
      <w:r w:rsidR="00597679" w:rsidRPr="009D0063">
        <w:t xml:space="preserve"> </w:t>
      </w:r>
    </w:p>
    <w:p w14:paraId="37BF05D0" w14:textId="093382B7" w:rsidR="00C11BD1" w:rsidRPr="008E3413" w:rsidRDefault="00C11BD1" w:rsidP="00C11BD1">
      <w:pPr>
        <w:pStyle w:val="example"/>
        <w:spacing w:before="80"/>
        <w:ind w:right="0"/>
        <w:jc w:val="both"/>
        <w:rPr>
          <w:rFonts w:ascii="Georgia" w:hAnsi="Georgia"/>
          <w:szCs w:val="24"/>
        </w:rPr>
      </w:pPr>
      <w:r>
        <w:t>T</w:t>
      </w:r>
      <w:r w:rsidRPr="009D0063">
        <w:t xml:space="preserve">he role of </w:t>
      </w:r>
      <w:r>
        <w:t xml:space="preserve">the </w:t>
      </w:r>
      <w:r w:rsidRPr="009D0063">
        <w:t>disjunctive syllogism can be detected in a variety of strengtheni</w:t>
      </w:r>
      <w:r>
        <w:t xml:space="preserve">ng shifts in natural language </w:t>
      </w:r>
      <w:r w:rsidRPr="009D0063">
        <w:t>where the disjuncti</w:t>
      </w:r>
      <w:r>
        <w:t>ve premise</w:t>
      </w:r>
      <w:r w:rsidRPr="009D0063">
        <w:t xml:space="preserve"> in question is pragmatically presuppo</w:t>
      </w:r>
      <w:r>
        <w:t xml:space="preserve">sed </w:t>
      </w:r>
      <w:bookmarkStart w:id="0" w:name="_GoBack"/>
      <w:bookmarkEnd w:id="0"/>
      <w:r>
        <w:t>in relevant contexts. It will be shown that a</w:t>
      </w:r>
      <w:r>
        <w:rPr>
          <w:szCs w:val="24"/>
        </w:rPr>
        <w:t xml:space="preserve"> range of</w:t>
      </w:r>
      <w:r w:rsidRPr="008E3413">
        <w:rPr>
          <w:szCs w:val="24"/>
        </w:rPr>
        <w:t xml:space="preserve"> apparently quite diverse phenomena—</w:t>
      </w:r>
      <w:r>
        <w:rPr>
          <w:szCs w:val="24"/>
        </w:rPr>
        <w:t xml:space="preserve">negative strengthening in lexical and clausal contexts (e.g. </w:t>
      </w:r>
      <w:proofErr w:type="spellStart"/>
      <w:r>
        <w:rPr>
          <w:szCs w:val="24"/>
        </w:rPr>
        <w:t>neg</w:t>
      </w:r>
      <w:proofErr w:type="spellEnd"/>
      <w:r>
        <w:rPr>
          <w:szCs w:val="24"/>
        </w:rPr>
        <w:t>-raising)</w:t>
      </w:r>
      <w:r w:rsidRPr="008E3413">
        <w:rPr>
          <w:szCs w:val="24"/>
        </w:rPr>
        <w:t>, scope adjustments</w:t>
      </w:r>
      <w:r>
        <w:rPr>
          <w:szCs w:val="24"/>
        </w:rPr>
        <w:t xml:space="preserve"> with negated plural </w:t>
      </w:r>
      <w:proofErr w:type="spellStart"/>
      <w:r>
        <w:rPr>
          <w:szCs w:val="24"/>
        </w:rPr>
        <w:t>definites</w:t>
      </w:r>
      <w:proofErr w:type="spellEnd"/>
      <w:r>
        <w:rPr>
          <w:szCs w:val="24"/>
        </w:rPr>
        <w:t xml:space="preserve"> and bare plurals</w:t>
      </w:r>
      <w:r w:rsidRPr="008E3413">
        <w:rPr>
          <w:szCs w:val="24"/>
        </w:rPr>
        <w:t xml:space="preserve">, </w:t>
      </w:r>
      <w:r>
        <w:rPr>
          <w:szCs w:val="24"/>
        </w:rPr>
        <w:t xml:space="preserve">epistemic strengthening of weak </w:t>
      </w:r>
      <w:proofErr w:type="spellStart"/>
      <w:r>
        <w:rPr>
          <w:szCs w:val="24"/>
        </w:rPr>
        <w:t>implicature</w:t>
      </w:r>
      <w:proofErr w:type="spellEnd"/>
      <w:r>
        <w:rPr>
          <w:szCs w:val="24"/>
        </w:rPr>
        <w:t xml:space="preserve"> in both main and embedded contexts, conjunctive readings of free choice disjunction, and children’s </w:t>
      </w:r>
      <w:r w:rsidRPr="008E3413">
        <w:rPr>
          <w:szCs w:val="24"/>
        </w:rPr>
        <w:t>word learning strategies</w:t>
      </w:r>
      <w:r>
        <w:rPr>
          <w:szCs w:val="24"/>
        </w:rPr>
        <w:t>, among others</w:t>
      </w:r>
      <w:r w:rsidRPr="008E3413">
        <w:rPr>
          <w:szCs w:val="24"/>
        </w:rPr>
        <w:t>—</w:t>
      </w:r>
      <w:r>
        <w:rPr>
          <w:szCs w:val="24"/>
        </w:rPr>
        <w:t>can be collected under the umbrella</w:t>
      </w:r>
      <w:r w:rsidRPr="008E3413">
        <w:rPr>
          <w:szCs w:val="24"/>
        </w:rPr>
        <w:t xml:space="preserve"> of </w:t>
      </w:r>
      <w:r>
        <w:rPr>
          <w:szCs w:val="24"/>
        </w:rPr>
        <w:t xml:space="preserve">pragmatic strengthening as reflexes of </w:t>
      </w:r>
      <w:r w:rsidRPr="008E3413">
        <w:rPr>
          <w:szCs w:val="24"/>
        </w:rPr>
        <w:t xml:space="preserve">the general preference for contrariety, </w:t>
      </w:r>
      <w:r>
        <w:rPr>
          <w:szCs w:val="24"/>
        </w:rPr>
        <w:t>the operation</w:t>
      </w:r>
      <w:r w:rsidRPr="008E3413">
        <w:rPr>
          <w:szCs w:val="24"/>
        </w:rPr>
        <w:t xml:space="preserve"> of disjunctive syllogism</w:t>
      </w:r>
      <w:r>
        <w:rPr>
          <w:szCs w:val="24"/>
        </w:rPr>
        <w:t>, or both.</w:t>
      </w:r>
      <w:r w:rsidRPr="008E3413">
        <w:rPr>
          <w:rFonts w:ascii="Georgia" w:hAnsi="Georgia"/>
          <w:szCs w:val="24"/>
        </w:rPr>
        <w:t xml:space="preserve"> </w:t>
      </w:r>
    </w:p>
    <w:p w14:paraId="5D9CACC3" w14:textId="479845EA" w:rsidR="00597679" w:rsidRPr="008E3413" w:rsidRDefault="00597679" w:rsidP="00C11BD1">
      <w:pPr>
        <w:pStyle w:val="example"/>
        <w:spacing w:before="80"/>
        <w:ind w:right="-115"/>
        <w:rPr>
          <w:rFonts w:ascii="Georgia" w:hAnsi="Georgia"/>
          <w:szCs w:val="24"/>
        </w:rPr>
      </w:pPr>
    </w:p>
    <w:sectPr w:rsidR="00597679" w:rsidRPr="008E3413" w:rsidSect="00597679">
      <w:pgSz w:w="12240" w:h="15840"/>
      <w:pgMar w:top="1152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611CD" w14:textId="77777777" w:rsidR="00C93CCB" w:rsidRDefault="00C93CCB">
      <w:r>
        <w:separator/>
      </w:r>
    </w:p>
  </w:endnote>
  <w:endnote w:type="continuationSeparator" w:id="0">
    <w:p w14:paraId="0CCA5601" w14:textId="77777777" w:rsidR="00C93CCB" w:rsidRDefault="00C9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C8E14" w14:textId="77777777" w:rsidR="00C93CCB" w:rsidRDefault="00C93CCB">
      <w:r>
        <w:separator/>
      </w:r>
    </w:p>
  </w:footnote>
  <w:footnote w:type="continuationSeparator" w:id="0">
    <w:p w14:paraId="1BB5BA5E" w14:textId="77777777" w:rsidR="00C93CCB" w:rsidRDefault="00C93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33"/>
    <w:rsid w:val="00113360"/>
    <w:rsid w:val="001A1889"/>
    <w:rsid w:val="00230615"/>
    <w:rsid w:val="002F0856"/>
    <w:rsid w:val="003F3F9F"/>
    <w:rsid w:val="0047713E"/>
    <w:rsid w:val="00597679"/>
    <w:rsid w:val="00647D33"/>
    <w:rsid w:val="006B2768"/>
    <w:rsid w:val="006B2EA9"/>
    <w:rsid w:val="00771714"/>
    <w:rsid w:val="007F1467"/>
    <w:rsid w:val="0088408D"/>
    <w:rsid w:val="008E3413"/>
    <w:rsid w:val="00A81ABC"/>
    <w:rsid w:val="00AD784B"/>
    <w:rsid w:val="00C11BD1"/>
    <w:rsid w:val="00C93CCB"/>
    <w:rsid w:val="00D0264A"/>
    <w:rsid w:val="00E50C32"/>
    <w:rsid w:val="00EC7B4D"/>
    <w:rsid w:val="00F3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FE3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6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s">
    <w:name w:val="bibs"/>
    <w:basedOn w:val="Normal"/>
    <w:rsid w:val="006826F0"/>
    <w:pPr>
      <w:spacing w:after="40"/>
      <w:ind w:left="216" w:right="144" w:hanging="216"/>
    </w:pPr>
    <w:rPr>
      <w:rFonts w:ascii="Georgia" w:hAnsi="Georgia"/>
      <w:position w:val="0"/>
      <w:szCs w:val="20"/>
    </w:rPr>
  </w:style>
  <w:style w:type="paragraph" w:customStyle="1" w:styleId="bibbles">
    <w:name w:val="bibbles"/>
    <w:basedOn w:val="Normal"/>
    <w:rsid w:val="006826F0"/>
    <w:pPr>
      <w:spacing w:before="40" w:after="40"/>
      <w:ind w:left="288" w:right="180" w:hanging="288"/>
    </w:pPr>
    <w:rPr>
      <w:position w:val="0"/>
      <w:sz w:val="24"/>
    </w:rPr>
  </w:style>
  <w:style w:type="character" w:styleId="Hyperlink">
    <w:name w:val="Hyperlink"/>
    <w:rsid w:val="00B652E3"/>
    <w:rPr>
      <w:color w:val="0000FF"/>
      <w:u w:val="single"/>
    </w:rPr>
  </w:style>
  <w:style w:type="paragraph" w:customStyle="1" w:styleId="bibsquop">
    <w:name w:val="bibsquop"/>
    <w:basedOn w:val="bibbles"/>
    <w:rsid w:val="0015471F"/>
    <w:pPr>
      <w:spacing w:before="0" w:line="280" w:lineRule="atLeast"/>
      <w:ind w:right="187"/>
    </w:pPr>
    <w:rPr>
      <w:rFonts w:ascii="Georgia" w:hAnsi="Georgia"/>
      <w:color w:val="000000"/>
      <w:sz w:val="22"/>
      <w:szCs w:val="20"/>
    </w:rPr>
  </w:style>
  <w:style w:type="paragraph" w:customStyle="1" w:styleId="bibliog">
    <w:name w:val="bibliog"/>
    <w:basedOn w:val="Normal"/>
    <w:rsid w:val="0015471F"/>
    <w:pPr>
      <w:ind w:left="288" w:hanging="288"/>
    </w:pPr>
    <w:rPr>
      <w:rFonts w:ascii="Times" w:hAnsi="Times"/>
      <w:position w:val="0"/>
      <w:sz w:val="24"/>
      <w:szCs w:val="20"/>
    </w:rPr>
  </w:style>
  <w:style w:type="paragraph" w:styleId="Header">
    <w:name w:val="header"/>
    <w:basedOn w:val="Normal"/>
    <w:rsid w:val="00154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471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D0063"/>
    <w:rPr>
      <w:color w:val="800080"/>
      <w:u w:val="single"/>
    </w:rPr>
  </w:style>
  <w:style w:type="paragraph" w:customStyle="1" w:styleId="example">
    <w:name w:val="example"/>
    <w:basedOn w:val="Normal"/>
    <w:rsid w:val="009D0063"/>
    <w:pPr>
      <w:keepLines/>
      <w:tabs>
        <w:tab w:val="left" w:pos="340"/>
        <w:tab w:val="left" w:pos="576"/>
        <w:tab w:val="left" w:pos="800"/>
      </w:tabs>
      <w:spacing w:line="280" w:lineRule="atLeast"/>
      <w:ind w:right="-120"/>
    </w:pPr>
    <w:rPr>
      <w:rFonts w:ascii="Times" w:hAnsi="Times"/>
      <w:position w:val="0"/>
      <w:sz w:val="24"/>
      <w:szCs w:val="20"/>
    </w:rPr>
  </w:style>
  <w:style w:type="paragraph" w:styleId="BodyText">
    <w:name w:val="Body Text"/>
    <w:basedOn w:val="Normal"/>
    <w:rsid w:val="009D0063"/>
    <w:pPr>
      <w:spacing w:after="120"/>
    </w:pPr>
    <w:rPr>
      <w:position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6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s">
    <w:name w:val="bibs"/>
    <w:basedOn w:val="Normal"/>
    <w:rsid w:val="006826F0"/>
    <w:pPr>
      <w:spacing w:after="40"/>
      <w:ind w:left="216" w:right="144" w:hanging="216"/>
    </w:pPr>
    <w:rPr>
      <w:rFonts w:ascii="Georgia" w:hAnsi="Georgia"/>
      <w:position w:val="0"/>
      <w:szCs w:val="20"/>
    </w:rPr>
  </w:style>
  <w:style w:type="paragraph" w:customStyle="1" w:styleId="bibbles">
    <w:name w:val="bibbles"/>
    <w:basedOn w:val="Normal"/>
    <w:rsid w:val="006826F0"/>
    <w:pPr>
      <w:spacing w:before="40" w:after="40"/>
      <w:ind w:left="288" w:right="180" w:hanging="288"/>
    </w:pPr>
    <w:rPr>
      <w:position w:val="0"/>
      <w:sz w:val="24"/>
    </w:rPr>
  </w:style>
  <w:style w:type="character" w:styleId="Hyperlink">
    <w:name w:val="Hyperlink"/>
    <w:rsid w:val="00B652E3"/>
    <w:rPr>
      <w:color w:val="0000FF"/>
      <w:u w:val="single"/>
    </w:rPr>
  </w:style>
  <w:style w:type="paragraph" w:customStyle="1" w:styleId="bibsquop">
    <w:name w:val="bibsquop"/>
    <w:basedOn w:val="bibbles"/>
    <w:rsid w:val="0015471F"/>
    <w:pPr>
      <w:spacing w:before="0" w:line="280" w:lineRule="atLeast"/>
      <w:ind w:right="187"/>
    </w:pPr>
    <w:rPr>
      <w:rFonts w:ascii="Georgia" w:hAnsi="Georgia"/>
      <w:color w:val="000000"/>
      <w:sz w:val="22"/>
      <w:szCs w:val="20"/>
    </w:rPr>
  </w:style>
  <w:style w:type="paragraph" w:customStyle="1" w:styleId="bibliog">
    <w:name w:val="bibliog"/>
    <w:basedOn w:val="Normal"/>
    <w:rsid w:val="0015471F"/>
    <w:pPr>
      <w:ind w:left="288" w:hanging="288"/>
    </w:pPr>
    <w:rPr>
      <w:rFonts w:ascii="Times" w:hAnsi="Times"/>
      <w:position w:val="0"/>
      <w:sz w:val="24"/>
      <w:szCs w:val="20"/>
    </w:rPr>
  </w:style>
  <w:style w:type="paragraph" w:styleId="Header">
    <w:name w:val="header"/>
    <w:basedOn w:val="Normal"/>
    <w:rsid w:val="00154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471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D0063"/>
    <w:rPr>
      <w:color w:val="800080"/>
      <w:u w:val="single"/>
    </w:rPr>
  </w:style>
  <w:style w:type="paragraph" w:customStyle="1" w:styleId="example">
    <w:name w:val="example"/>
    <w:basedOn w:val="Normal"/>
    <w:rsid w:val="009D0063"/>
    <w:pPr>
      <w:keepLines/>
      <w:tabs>
        <w:tab w:val="left" w:pos="340"/>
        <w:tab w:val="left" w:pos="576"/>
        <w:tab w:val="left" w:pos="800"/>
      </w:tabs>
      <w:spacing w:line="280" w:lineRule="atLeast"/>
      <w:ind w:right="-120"/>
    </w:pPr>
    <w:rPr>
      <w:rFonts w:ascii="Times" w:hAnsi="Times"/>
      <w:position w:val="0"/>
      <w:sz w:val="24"/>
      <w:szCs w:val="20"/>
    </w:rPr>
  </w:style>
  <w:style w:type="paragraph" w:styleId="BodyText">
    <w:name w:val="Body Text"/>
    <w:basedOn w:val="Normal"/>
    <w:rsid w:val="009D0063"/>
    <w:pPr>
      <w:spacing w:after="120"/>
    </w:pPr>
    <w:rPr>
      <w:positio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Aberdein, Andrew</vt:lpstr>
    </vt:vector>
  </TitlesOfParts>
  <Company/>
  <LinksUpToDate>false</LinksUpToDate>
  <CharactersWithSpaces>1552</CharactersWithSpaces>
  <SharedDoc>false</SharedDoc>
  <HLinks>
    <vt:vector size="12" baseType="variant">
      <vt:variant>
        <vt:i4>4653116</vt:i4>
      </vt:variant>
      <vt:variant>
        <vt:i4>3</vt:i4>
      </vt:variant>
      <vt:variant>
        <vt:i4>0</vt:i4>
      </vt:variant>
      <vt:variant>
        <vt:i4>5</vt:i4>
      </vt:variant>
      <vt:variant>
        <vt:lpwstr>http://odur.let.rug.nl/~koster/DenBesten/contents.htm</vt:lpwstr>
      </vt:variant>
      <vt:variant>
        <vt:lpwstr/>
      </vt:variant>
      <vt:variant>
        <vt:i4>851996</vt:i4>
      </vt:variant>
      <vt:variant>
        <vt:i4>0</vt:i4>
      </vt:variant>
      <vt:variant>
        <vt:i4>0</vt:i4>
      </vt:variant>
      <vt:variant>
        <vt:i4>5</vt:i4>
      </vt:variant>
      <vt:variant>
        <vt:lpwstr>mailto:laurence.horn@yale.edu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Aberdein, Andrew</dc:title>
  <dc:subject/>
  <dc:creator>Larry Horn</dc:creator>
  <cp:keywords/>
  <dc:description/>
  <cp:lastModifiedBy>Laurence Horn</cp:lastModifiedBy>
  <cp:revision>2</cp:revision>
  <cp:lastPrinted>2011-05-24T18:45:00Z</cp:lastPrinted>
  <dcterms:created xsi:type="dcterms:W3CDTF">2011-10-09T01:37:00Z</dcterms:created>
  <dcterms:modified xsi:type="dcterms:W3CDTF">2011-10-09T01:37:00Z</dcterms:modified>
</cp:coreProperties>
</file>